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739/2013 vom 19. Februar 2014</w:t>
      </w:r>
    </w:p>
    <w:p>
      <w:r>
        <w:t>Bundesgericht, 2014-02-19, FR</w:t>
      </w:r>
    </w:p>
    <w:p>
      <w:r>
        <w:rPr>
          <w:b/>
        </w:rPr>
        <w:t xml:space="preserve">Quelle: </w:t>
      </w:r>
      <w:r>
        <w:t>https://mcp.opencaselaw.ch/entscheid/bger_5A_739_2013</w:t>
      </w:r>
    </w:p>
    <w:p>
      <w:r>
        <w:t>FR: TF 5A 739/2013 du 19 février 2014</w:t>
      </w:r>
    </w:p>
    <w:p>
      <w:r>
        <w:t>IT: TF 5A 739/2013 del 19 febbraio 2014</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 art. 100 al. 1 LTF ) et dans la forme prévue par la loi ( art. 42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attaquée que s'il démontre la violation de droits constitutionnels par l'autorité cantonale, grief qu'il doit motiver en se conformant aux exigences du principe d'allégation précité (cf. supra consid. 2.1; ATF 133 III 585 consid. 4.1). En l'espèce, les " faits essentiels " que la recourante croit utile de relater aux pages 5 à 17 de son recours seront ignorés en tant qu'ils s'écartent de ceux contenus dans l'arrêt attaqué et que la recourante n'invoque pas leur établissement arbitraire.</w:t>
      </w:r>
    </w:p>
    <w:p>
      <w:r>
        <w:rPr>
          <w:b/>
        </w:rPr>
        <w:t>E. 3</w:t>
      </w:r>
    </w:p>
    <w:p>
      <w:r>
        <w:t>Selon l' art. 272 al. 1 ch. 1 LP ,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en général: cf. ATF 130 III 321 consid. 3.3). A cet effet, le créancier séquestrant doit alléguer les faits et produire un titre ( art. 254 al. 1 CPC ) qui permette au juge du séquestre d'acquérir, au degré de la simple vraisemblance, la conviction que la prétention existe pour le montant énoncé et qu'elle est exigible ( ATF 138 III 636 consid. 4.3.2; arrêt 5A_877/2011 du 5 mars 2012 consid. 2.1).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 in SJ 2013 I p. 463).</w:t>
      </w:r>
    </w:p>
    <w:p>
      <w:r>
        <w:rPr>
          <w:b/>
        </w:rPr>
        <w:t>E. 4</w:t>
      </w:r>
    </w:p>
    <w:p>
      <w:r>
        <w:t>La recourante se plaint d'arbitraire dans l'établissement des faits, en tant que l'autorité cantonale a retenu qu'il n'était pas vraisemblable que H.________ eût agi en violation des instructions de D.________, ayant droit économique de la recourante, en transférant en son propre nom le capital-actions de G.________.</w:t>
      </w:r>
    </w:p>
    <w:p>
      <w:r>
        <w:rPr>
          <w:b/>
        </w:rPr>
        <w:t>E. 4.1</w:t>
      </w:r>
    </w:p>
    <w:p>
      <w:r>
        <w:t>L'autorité cantonale a constaté que H.________ était au bénéfice d'une procuration générale dûment octroyée par D.________ et par l'intimé, lui confiant notamment la gestion des sociétés G._________ et F.________, et que, à deux reprises au moins, H.________ avait indiqué qu'il avait d'abord été envisagé de céder le capital-actions de G.________ à E.________ et à la recourante mais que, notamment en raison de l'opposition de D.________, il avait été finalement décidé de lui transférer à lui personnellement ce capital à titre fiduciaire. L'autorité cantonale a alors conclu qu'il apparaissait ainsi, prima facie , que H.________ avait agi conformément aux instructions de l'ayant droit économique de la recourante. Se penchant ensuite sur les arguments de la recourante, l'autorité cantonale a ajouté qu'on ne voyait pas pourquoi D.________ et l'intimé, qui avaient confié à H.________ la gestion des sociétés constituées en commun, n'auraient pas pu envisager de lui confier la détention du capital-actions de l'une de ces sociétés, notamment à titre fiduciaire, et que le fait que la recourante avait ensuite reproché à G.________ de ne pas l'avoir informée du changement survenu dans son actionnariat ne permettait pas d'exclure que l'ayant droit économique de la recourante eût lui-même été informé de ce changement, qu'il y eût consenti ou qu'il en fût à l'origine, étant donné qu'il n'y avait pas d'identité personnelle entre la recourante et son ayant droit économique et que l'ignorance d'un fait par la première ne signifiait donc pas nécessairement que le second l'ignorât aussi. L'autorité cantonale en a conclu qu'il n'était pas vraisemblable que H.________ eût agi en violation des instructions de l'ayant droit économique de la recourante en transférant à son nom le capital-actions de G.________.</w:t>
      </w:r>
    </w:p>
    <w:p>
      <w:r>
        <w:rPr>
          <w:b/>
        </w:rPr>
        <w:t>E. 4.2.1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(cf. supra consid. 2.2),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 consid. 2b/bb), pouvant se contenter de la simple vraisemblance des faits.</w:t>
      </w:r>
    </w:p>
    <w:p>
      <w:r>
        <w:rPr>
          <w:b/>
        </w:rPr>
        <w:t>E. 4.2.2</w:t>
      </w:r>
    </w:p>
    <w:p>
      <w:r>
        <w:t>En l'espèce, en tant que la recourante se borne à répéter ses arguments et à opposer ses propres déductions à celles opérées par l'autorité cantonale sans s'attaquer à la motivation sur laquelle celle-ci s'est fondée (violation du mandat par H.________ en se transférant à lui-même les actions de G.________; ignorance par elle-même et par D.________ du transfert d'actions jusqu'au 8 septembre 2011), ainsi qu'à présenter des faits qui ne ressortent pas de l'état de fait de l'arrêt attaqué (utilisation par H.________ de son contrôle sur G.________ et manoeuvre de la part de celui-ci pour refuser de rembourser des prêts; provocation frauduleuse par H.________ de la faillite de G.________ en vidant celle-ci de sa substance), néanmoins sans se référer précisément aux pièces du dossier desquelles ces faits ressortiraient et sans expliquer pour quel motif l'autorité cantonale aurait arbitrairement omis d'en tenir compte, sa critique, purement appellatoire, est irrecevable (cf. supra consid. 2.1). Pour le reste, le simple fait qu'on ne trouve aucune correspondance sur le transfert des actions adressée à la recourante ou à D.________ ne permet pas de retenir que l'autorité cantonale aurait établi les faits de manière manifestement inexacte en retenant, au degré de la vraisemblance, que H.________ a agi conformément aux instructions de l'ayant droit économique de la recourante et qu'il n'est pas exclu que D.________ ait été informé du transfert d'actions. Au vu de ce qui précède, le grief d'arbitraire dans l'établissement des faits doit être rejeté, dans la très faible mesure de sa recevabilité.</w:t>
      </w:r>
    </w:p>
    <w:p>
      <w:r>
        <w:rPr>
          <w:b/>
        </w:rPr>
        <w:t>E. 5</w:t>
      </w:r>
    </w:p>
    <w:p>
      <w:r>
        <w:t>Dans son second grief, la recourante entend dénoncer l'arbitraire dans l'établissement des faits, en tant que l'autorité cantonale a retenu qu'il n'est pas suffisamment vraisemblable que l'intimé ait instigué H.________ à commettre des actes illicites, hypothèse " dont la réalisation n'est pas plus proche de la certitude que de la simple possibilité ".</w:t>
      </w:r>
    </w:p>
    <w:p>
      <w:r>
        <w:rPr>
          <w:b/>
        </w:rPr>
        <w:t>E. 5.1</w:t>
      </w:r>
    </w:p>
    <w:p>
      <w:r>
        <w:t>A titre préliminaire, il sied de préciser que, en se référant, dans sa motivation sur cette question de fait, à son affirmation selon laquelle, " dans l'échelle allant de l'incertitude (0%) à la certitude (100%) ", la vraisemblance prévue à l' art. 272 LP serait " plus proche de la certitude que de la simple possibilité, cas dans lequel il y a autant de probabilités que l'événement en cause se soit produit, ou non (50%-50%) ", l'autorité cantonale se méprend sur la définition du degré de preuve exigé à l' art. 272 LP , soit la simple vraisemblance: un fait est précisément déjà rendu simplement vraisemblable lorsque certains éléments parlent en faveur de son existence, même si le tribunal tient encore pour possible qu'il ne se soit pas produit (cf. supra consid. 3, not. ATF 130 III 321 consid. 3.3). Néanmoins, au vu du sort qu'il convient de réserver au grief de la recourante, cette affirmation erronée reste sans conséquence pour la résolution du litige.</w:t>
      </w:r>
    </w:p>
    <w:p>
      <w:r>
        <w:rPr>
          <w:b/>
        </w:rPr>
        <w:t>E. 5.2</w:t>
      </w:r>
    </w:p>
    <w:p>
      <w:r>
        <w:t>En effet, la recourante ayant échoué à démontrer que l'autorité cantonale aurait violé l' art. 9 Cst. en retenant qu'il n'est pas vraisemblable que H.________ ait violé des instructions de l'ayant droit économique de la recourante (cf. supra consid. 4.2.2), il est superflu d'examiner ce second grief d'arbitraire: dans son argumentation, la recourante n'expose pas quels pourraient être les autres actes supposément illicites que H.________ aurait commis contre elle sur instigation de l'intimé. Il en va de même, pour autant qu'ils aient même une portée propre par rapport au grief d'arbitraire dans l'établissement des faits et soient recevables, des griefs d'arbitraire dans l'application des art. 278 al. 2 LP et 326 al. 2 CPC ( art. 9 Cst. ) et de violation du droit d'être entendu ( art. 29 al. 2 Cst. ) que la recourante invoque pêle-mêle en lien avec l'instigation précitée.</w:t>
      </w:r>
    </w:p>
    <w:p>
      <w:r>
        <w:rPr>
          <w:b/>
        </w:rPr>
        <w:t>E. 6</w:t>
      </w:r>
    </w:p>
    <w:p>
      <w:r>
        <w:t>En conclusion, le recours est rejeté, dans la très faible mesure de sa recevabilité. Les frais judiciaires, arrêtés à 10'000 fr., sont mis à la charge de la recourante, qui succombe ( art. 66 al. 1 LTF ). L'intimé, qui n'a pas été invité à déposer de réponse au fond, n'a pas droit à des dépens, de sorte que les sûretés fournies par la recourante en garantie de ceux-ci doivent être libérées.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