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5A_738/2023 vom 3. Oktober 2023</w:t>
      </w:r>
    </w:p>
    <w:p>
      <w:r>
        <w:t>Bundesgericht, 2023-10-03, DE</w:t>
      </w:r>
    </w:p>
    <w:p>
      <w:r>
        <w:rPr>
          <w:b/>
        </w:rPr>
        <w:t xml:space="preserve">Quelle: </w:t>
      </w:r>
      <w:r>
        <w:t>https://mcp.opencaselaw.ch/entscheid/bger_5A_738_2023</w:t>
      </w:r>
    </w:p>
    <w:p>
      <w:r>
        <w:t>FR: TF 5A_738/2023 du 3 octobre 2023</w:t>
      </w:r>
    </w:p>
    <w:p>
      <w:r>
        <w:t>IT: TF 5A_738/2023 del 3 ottobre 2023</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stellt Begehren, die sich auf einen weit zurückliegenden Entscheid vom 3. Juni 2020 beziehen (dieser sei "als ungültig zu erklären, infolge keiner Gefährdung nach Art. 175 ZGB ", vgl. Begehren Ziff. 1) und er geht von einer vorsorglichen Massnahme aus (vgl. Begehren Ziff. 3); sodann stellt er direkt Begehren in der Sache selbst, indem er die alleinige Obhut für das Kind (vgl. Begehren Ziff. 2) und sinngemäss die Festlegung von Kindesunterhalt verlangt, der an ihn als Vater zu bezahlen sei (vgl. Begehren Ziff. 4). Die Begehren gehen somit am vorliegenden Anfechtungsgegenstand (Nichteintreten auf die Berufung bezüglich des erstinstanzlichen Scheidungsurteils) vorbei.</w:t>
      </w:r>
    </w:p>
    <w:p>
      <w:r>
        <w:t>Gleiches gilt für die Beschwerdebegründung, in welcher - ähnlich wie in zahlreichen früheren Beschwerden betreffend Eheschutz, vorsorgliche Massnahmen, Abänderungsverfahren etc. - Vorwürfe an die Mutter gerichtet werden und sinngemäss zum Ausdruck gebracht wird, dem Kind würde es unter seiner Obhut viel besser gehen (lebensnähere Beschäftigungen, gesünderes Essen, bessere Betreuung etc.).</w:t>
      </w:r>
    </w:p>
    <w:p>
      <w:r>
        <w:rPr>
          <w:b/>
        </w:rPr>
        <w:t>E. 3</w:t>
      </w:r>
    </w:p>
    <w:p>
      <w:r>
        <w:t>Nach dem Gesagten erweist sich die Beschwerde angesichts der am Anfechtungsgegenstand vorbeigehenden Begehren und Ausführungen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