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738/2011 vom 15. Mai 2012</w:t>
      </w:r>
    </w:p>
    <w:p>
      <w:r>
        <w:t>Bundesgericht, 2012-05-15, FR</w:t>
      </w:r>
    </w:p>
    <w:p>
      <w:r>
        <w:rPr>
          <w:b/>
        </w:rPr>
        <w:t xml:space="preserve">Quelle: </w:t>
      </w:r>
      <w:r>
        <w:t>https://mcp.opencaselaw.ch/entscheid/bger_5A_738_2011</w:t>
      </w:r>
    </w:p>
    <w:p>
      <w:r>
        <w:t>FR: TF 5A 738/2011 du 15 mai 2012</w:t>
      </w:r>
    </w:p>
    <w:p>
      <w:r>
        <w:t>IT: TF 5A 738/2011 del 15 maggio 2012</w:t>
      </w:r>
    </w:p>
    <w:p>
      <w:pPr>
        <w:pStyle w:val="Heading2"/>
      </w:pPr>
      <w:r>
        <w:t>Regeste</w:t>
      </w:r>
    </w:p>
    <w:p>
      <w:r>
        <w:t>succession | Droit des successions</w:t>
      </w:r>
    </w:p>
    <w:p>
      <w:pPr>
        <w:pStyle w:val="Heading2"/>
      </w:pPr>
      <w:r>
        <w:t>Erwägungen</w:t>
      </w:r>
    </w:p>
    <w:p>
      <w:r>
        <w:rPr>
          <w:b/>
        </w:rPr>
        <w:t>E. 1.1</w:t>
      </w:r>
    </w:p>
    <w:p>
      <w:r>
        <w:t>Le recours a été déposé en temps utile ( art. 100 al. 1 LTF ) et dans la forme prévue par la loi ( art. 42 LTF ), contre une décision rendue en matière civile ( art. 72 al. 1 LTF ) et par une partie ayant succombé devant l'autorité cantonale de dernière instance (art. 75 al. 1 et 76 al. 1 LTF); il est ainsi recevable au regard de ces dispositions.</w:t>
      </w:r>
    </w:p>
    <w:p>
      <w:r>
        <w:rPr>
          <w:b/>
        </w:rPr>
        <w:t>E. 1.2</w:t>
      </w:r>
    </w:p>
    <w:p>
      <w:r>
        <w:t>Il n'est nécessaire d'examiner ni si le caractère gracieux de la procédure ayant abouti à la décision entreprise (cf. ATF 118 II 108 consid. 1; 98 II 148 ) a pour effet de soustraire le recours en matière civile à l'exigence d'une valeur litigieuse minimale, ni si cette dernière est atteinte ou s'il y a lieu de traiter les écritures des recourants comme recours constitutionnel subsidiaire dès lors que, de toute manière, seule une violation des droits constitutionnels peut être invoquée en l'espèce. En effet, la désignation d'un exécuteur testamentaire est une mesure de sûretés au sens des art. 551 ss CC visant uniquement à assurer la conservation, la gestion et la dévolution des biens de la succession (arrêt 5A_257/2009 du 26 octobre 2009 consid. 1.4; STEINAUER, Le droit des successions, 2006, n. 889); elle constitue ainsi une décision de mesures provisionnelles au sens de l' art. 98 LTF qui ne peut être attaquée que pour violation des droits constitutionnels (arrêts 5A_495/2010 du 10 janvier 2011 consid. 1.2; 5A_754/2009 du 28 juin 2010 consid. 1.2; 5A_257/2009 du 26 octobre 2009 consid. 1.4).</w:t>
      </w:r>
    </w:p>
    <w:p>
      <w:r>
        <w:rPr>
          <w:b/>
        </w:rPr>
        <w:t>E. 1.3</w:t>
      </w:r>
    </w:p>
    <w:p>
      <w:r>
        <w:t>Conformément à l' art. 99 al. 2 LTF , les conclusions nouvelles sont irrecevables. Devant la cour de céans, la recourante reprend les nombreux chefs de conclusions qu'elle avait formulés dans son mémoire ampliatif du 10 février 2011 et dont l'autorité précédente ne s'est pas saisie pour le motif qu'ils étaient tardifs. Dans la mesure où elle ne se plaint pas d'une application arbitraire du droit de procédure sur ce point, ces chefs de conclusions se révèlent nouveaux devant le Tribunal fédéral; partant, ils sont irrecevables. En outre, les conclusions contenues dans ses écritures des 22 novembre et 19 décembre 2011, ainsi que des 20 janvier et 1er mars 2012 sont également irrecevables dès lors qu'elles ont été formulées après l'échéance du délai de recours intervenue le 7 novembre 2011, l'arrêt cantonal lui ayant été notifié le 6 octobre 2011. Il s'ensuit que seule la conclusion en désignation d'un exécuteur testamentaire - qui a été formée en temps utile devant la cour cantonale et examinée par celle-ci - est recevable.</w:t>
      </w:r>
    </w:p>
    <w:p>
      <w:r>
        <w:rPr>
          <w:b/>
        </w:rPr>
        <w:t>E. 2</w:t>
      </w:r>
    </w:p>
    <w:p>
      <w:r>
        <w:t>La recourante demande qu'elle-même ou son père, P.________, soit nommé exécuteur testamentaire de la succession de feue X.________.</w:t>
      </w:r>
    </w:p>
    <w:p>
      <w:r>
        <w:rPr>
          <w:b/>
        </w:rPr>
        <w:t>E. 2.1</w:t>
      </w:r>
    </w:p>
    <w:p>
      <w:r>
        <w:t>En raison de la nationalité étrangère de la défunte, le litige revêt un caractère international. Le Tribunal fédéral doit donc examiner la question du droit applicable ( ATF 136 III 142 consid. 3.2; 135 III 562 consid. 3.2; 131 III 153 consid. 3). Pour ce faire, il faut se référer au droit international privé du for et qualifier le rapport juridique selon la lex fori ( ATF 136 III 142 consid. 3.2; 135 III 562 consid. 3.2), à savoir, en l'espèce, la loi fédérale du 18 décembre 1987 sur le droit international privé (LDIP, RS 291). En vertu de l' art. 90 al. 1 LDIP , la succession d'une personne qui avait son dernier domicile en Suisse est régie par le droit suisse. La de cujus étant domiciliée à Lausanne lors de son décès et n'ayant fait aucune professio juris ( art. 90 al. 2 LDIP ), le litige est soumis au droit suisse.</w:t>
      </w:r>
    </w:p>
    <w:p>
      <w:r>
        <w:rPr>
          <w:b/>
        </w:rPr>
        <w:t>E. 2.2</w:t>
      </w:r>
    </w:p>
    <w:p>
      <w:r>
        <w:t>À teneur de l' art. 517 al. 1 CC , le testateur peut, par une disposition testamentaire, charger de l'exécution de ses dernières volontés une ou plusieurs personnes capables d'exercer les droits civils. L'exécuteur testamentaire est ainsi une personne désignée par le de cujus dans son testament pour administrer et exécuter ses dispositions pour cause de mort (STEINAUER, op. cit., n. 1160; CHRIST, in: Abt/Weibel, Erbrecht, Praxiskommentar, 2007, n° 1 ad art. 517 CC ; KARRER/VOGT/LEU, Basler Kommentar, 2011, n° 2 vor art. 517/518 CC; PIOTET, Droit successoral, Traité de droit privé suisse, Tome IV, 1975, p. 138; GUINAND/STETTLER/LEUBA, Droit civil suisse, Droit des successions, 2005, n. 513 s.). À moins que le de cujus ait désigné un exécuteur de remplacement, l'exécution testamentaire prend fin par la mort de l'exécuteur testamentaire (STEINAUER, op. cit., n. 1167b; CHRIST, op. cit., n° 25 ad art. 517 CC ; PIOTET, op. cit., p. 144 s.; ESCHER, Zürcher Kommentar, n° 20 ad art. 518 CC ; KÜNZLE, Der Willensvollstrecker, 2000, p. 353); la fonction n'est ainsi pas transmissible aux héritiers de celui-ci (KARRER/VOGT/LEU, op. cit., n° 25 ad art. 517 CC ; GUINAND/STETTLER/LEUBA, op. cit., n. 537; JUCHLER, Anfang und Ende der Willensvollstreckung, 1999, p. 117).</w:t>
      </w:r>
    </w:p>
    <w:p>
      <w:r>
        <w:rPr>
          <w:b/>
        </w:rPr>
        <w:t>E. 2.3</w:t>
      </w:r>
    </w:p>
    <w:p>
      <w:r>
        <w:t>En l'occurrence, la cour cantonale a considéré, d'une part, qu'aucun des documents, sur lesquels se fonde la recourante, ne désigne expressément ou implicitement Y.________ comme exécutrice testamentaire et, d'autre part, que, quoiqu'il en soit, celle-ci étant décédée, cette fonction n'aurait de toute manière pas pu être transmise à la recourante.</w:t>
      </w:r>
    </w:p>
    <w:p>
      <w:r>
        <w:rPr>
          <w:b/>
        </w:rPr>
        <w:t>E. 2.4</w:t>
      </w:r>
    </w:p>
    <w:p>
      <w:r>
        <w:t>Cette appréciation ne prête pas le flanc à la critique. Lorsque la recourante affirme que Y.________ est clairement désignée comme "chef d'orchestre, manager" de la succession de la défunte en énumérant les différentes tâches confiées dans les documents précités, sa critique ne permet pas de qualifier d'insoutenable l'appréciation de la cour cantonale selon laquelle la défunte n'aurait pas nommé expressément ou implicitement cette personne comme exécuteur testamentaire. Par ailleurs, en tant qu'elle demande qu'elle-même ou son père, P.________, soit désigné exécuteur testamentaire de la succession de feue X.________, à titre de réparation du préjudice subi du fait que Y.________ n'a pas pu exécuter les tâches que lui avait confiées la défunte, elle méconnaît qu'une telle fonction n'est pas transmissible héréditairement (cf. supra consid. 2.2). Il s'ensuit que mal fondés, ses griefs doivent être rejetés. Quant aux autres critiques contenues dans l'écriture du 20 octobre 2011, la seule qui fut déposée en temps utile, elles se réfèrent à des conclusions déclarées irrecevables (cf. supra consid. 1.4).</w:t>
      </w:r>
    </w:p>
    <w:p>
      <w:r>
        <w:rPr>
          <w:b/>
        </w:rPr>
        <w:t>E. 3</w:t>
      </w:r>
    </w:p>
    <w:p>
      <w:r>
        <w:t>En définitive, le recours doit être rejeté dans la faible mesure de sa recevabilité. Les frais judiciaires, arrêtés à 3'000 fr. sont mis à la charge de la recourante, qui succombe ( art. 66 al. 1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