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5A_737/2023 vom 1. Dezember 2023</w:t>
      </w:r>
    </w:p>
    <w:p>
      <w:r>
        <w:t>Bundesgericht, 2023-12-01, FR</w:t>
      </w:r>
    </w:p>
    <w:p>
      <w:r>
        <w:rPr>
          <w:b/>
        </w:rPr>
        <w:t xml:space="preserve">Quelle: </w:t>
      </w:r>
      <w:r>
        <w:t>https://mcp.opencaselaw.ch/entscheid/bger_5A_737_2023</w:t>
      </w:r>
    </w:p>
    <w:p>
      <w:r>
        <w:t>FR: TF 5A_737/2023 du 1 décembre 2023</w:t>
      </w:r>
    </w:p>
    <w:p>
      <w:r>
        <w:t>IT: TF 5A_737/2023 del 1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de mesures protectrices de l'union conjugale rendue le 13 avril 2023, la Présidente du Tribunal civil de l'arrondissement de La Côte a, entre autres points, confié à A.A.________ (mère) la garde de l'enfant C.A.________, né en 2022 (I); réglé le droit de visite de B.A.________ (père) (II); ordonné en faveur du mineur une curatelle d'assistance éducative et de surveillance des relations personnelles au sens de l' art. 308 al. 1 et 2 CC (IV); fait interdiction à la mère, sous la commination de la peine prévue par l' art. 292 CP , de sortir du territoire suisse avec le mineur et de déplacer son lieu de résidence hors dudit territoire, et d'entreprendre toute démarche et de requérir la délivrance de tout nouveau passeport à son nom (VII-X); ordonné le maintien au greffe du tribunal des documents d'identité de l'enfant (XI) et ordonné l'inscription de la mère et de l'enfant au registre RIPOL (XII).</w:t>
      </w:r>
    </w:p>
    <w:p>
      <w:r>
        <w:t>Par arrêt du 24 août 2023, la Juge unique de la Cour d'appel civile du Tribunal cantonal vaudois a rejeté le recours de la mère et confirmé la décision attaquée.</w:t>
      </w:r>
    </w:p>
    <w:p>
      <w:r>
        <w:rPr>
          <w:b/>
        </w:rPr>
        <w:t>E. 2</w:t>
      </w:r>
    </w:p>
    <w:p>
      <w:r>
        <w:t>Par mémoire expédié le 27 septembre 2023, la mère forme un recours au Tribunal fédéral contre l'arrêt cantonal; elle sollicite la "</w:t>
      </w:r>
    </w:p>
    <w:p>
      <w:r>
        <w:t>suspension d'exécution des mesures provisionnelles ", en particulier l'exercice du droit de visite du père.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 art. 72 al. 1 LTF ( ATF 133 III 393 consid. 2). Il n'y a pas lieu de vérifier les autres conditions de recevabilité, ce procédé étant voué à l'échec.</w:t>
      </w:r>
    </w:p>
    <w:p>
      <w:r>
        <w:rPr>
          <w:b/>
        </w:rPr>
        <w:t>E. 4</w:t>
      </w:r>
    </w:p>
    <w:p>
      <w:r>
        <w:t>Les décisions relatives aux mesures protectrices de l'union conjugale portent sur des mesures provisionnelles au sens de l' art. 98 LTF , de sorte que la recourante ne peut se plaindre que d'une violation de ses droits constitutionnels (parmi d'autres: ATF 149 III 81 consid. 1.3; arrêt 5A_543/2023 du 6 septembre 2023 consid. 2.1), grief qu'elle est tenue de motiver conformément à l' art. 106 al. 2 LTF (</w:t>
      </w:r>
    </w:p>
    <w:p>
      <w:r>
        <w:t>cf . à ce sujet: ATF 142 III 364 consid. 2.4 et les arrêts cités).</w:t>
      </w:r>
    </w:p>
    <w:p>
      <w:r>
        <w:t>Or, en l'occurrence, le mémoire de l'intéressée ne satisfait pas à ces exigences: d'une part, les "</w:t>
      </w:r>
    </w:p>
    <w:p>
      <w:r>
        <w:t>articles 273, 274, 307 CC et 272 CPC " ne sont pas des droits constitutionnels; d'autre part, le moyen pris d'un établissement inexact des faits ( art. 97 LTF ) - en tant qu'il se rapporte à un grief d'arbitraire ( art. 9 Cst. ;</w:t>
      </w:r>
    </w:p>
    <w:p>
      <w:r>
        <w:t>cf . ATF 140 III 264 consid. 2.3) - est clairement de nature appellatoire, la recourante se bornant à présenter sa propre appréciation de la situation quant au droit de visite du père, reposant de surcroît sur des faits qui ne ressortent pas de la décision attaquée ( art. 99 al. 1 LTF 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 Il s'ensuit que la requête d'effet suspensif n'a plus d'objet.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