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5A_734/2020 vom 13. Juli 2021</w:t>
      </w:r>
    </w:p>
    <w:p>
      <w:r>
        <w:t>Bundesgericht, 2021-07-13, FR</w:t>
      </w:r>
    </w:p>
    <w:p>
      <w:r>
        <w:rPr>
          <w:b/>
        </w:rPr>
        <w:t xml:space="preserve">Quelle: </w:t>
      </w:r>
      <w:r>
        <w:t>https://mcp.opencaselaw.ch/entscheid/bger_5A_734_2020</w:t>
      </w:r>
    </w:p>
    <w:p>
      <w:r>
        <w:t>FR: TF 5A_734/2020 du 13 juillet 2021</w:t>
      </w:r>
    </w:p>
    <w:p>
      <w:r>
        <w:t>IT: TF 5A_734/2020 del 13 luglio 2021</w:t>
      </w:r>
    </w:p>
    <w:p>
      <w:pPr>
        <w:pStyle w:val="Heading2"/>
      </w:pPr>
      <w:r>
        <w:t>Erwägungen</w:t>
      </w:r>
    </w:p>
    <w:p>
      <w:r>
        <w:rPr>
          <w:b/>
        </w:rPr>
        <w:t>E. 1</w:t>
      </w:r>
    </w:p>
    <w:p>
      <w:r>
        <w:t>Le recours a été déposé en temps utile ( art. 100 al. 1 LTF ) contre une décision finale ( art. 90 LTF ) prise par une juridiction cantonale de dernière instance statuant sur recours ( art. 75 LTF ), dans une affaire civile ( art. 72 al. 1 LTF ) de nature pécuniaire dont la valeur litigieuse est supérieure à 30'000 fr. (art. 51 al. 1 let. a, 51 al. 4 et 74 al. 1 let. b LTF). Le recourant, qui a succombé devant l'autorité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 Les critiques de nature appellatoire sont irrecevables ( ATF 145 IV 154 consid. 1.1; 142 III 364 consid. 2.4et les arrêts cités).</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w:t>
      </w:r>
    </w:p>
    <w:p>
      <w:r>
        <w:rPr>
          <w:b/>
        </w:rPr>
        <w:t>E. 3</w:t>
      </w:r>
    </w:p>
    <w:p>
      <w:r>
        <w:t>Le recourant reproche à l'autorité cantonale d'avoir refusé d'imputer un revenu hypothétique à l'intimée.</w:t>
      </w:r>
    </w:p>
    <w:p>
      <w:r>
        <w:rPr>
          <w:b/>
        </w:rPr>
        <w:t>E. 3.1</w:t>
      </w:r>
    </w:p>
    <w:p>
      <w:r>
        <w:t>Conformément au principe de l'indépendance économique des époux, qui se déduit de l' art. 125 CC , le conjoint demandeur ne peut prétendre à une pension que s'il n'est pas en mesure de pourvoir lui-même à son entretien convenable ( ATF 141 III 465 consid. 3.1; 137 III 102 consid. 4.1.2; 134 III 145 consid. 4; arrêts 5A_104/2018 du 2 février 2021 consid. 5.2, destiné à la publication; 5A_907/2018 du 3 novembre 2020 consid. 3.4.4; 5A_903/2019 du 6 juillet 2020 consid. 3.3.1). Selon les circonstances, il pourra donc être contraint d'exercer une activité lucrative ou d'augmenter son taux de travail ( ATF 137 III 102 consid. 4.2.2.2; arrêt 5A_903/2019 du 6 juillet 2020 consid. 3.3.1 et les références).</w:t>
      </w:r>
    </w:p>
    <w:p>
      <w:r>
        <w:t>Un conjoint - y compris le créancier d'aliments - peut ainsi se voir imputer un revenu hypothétique, pour autant qu'il puisse le réaliser en faisant preuve de bonne volonté et en accomplissant l'effort qui peut être raisonnablement exigé de lui. L'obtention d'un tel revenu doit donc être effectivement possible. Savoir si l'on peut raisonnablement exiger du conjoint concerné qu'il exerce une activité lucrative ou augmente celle-ci est une question de droit; déterminer si cette personne a la possibilité effective d'exercer l'activité ainsi déterminée et quel revenu elle peut en obtenir est en revanche une question de fait ( ATF 143 III 233 consid. 3.2; 137 II 102 consid. 4.2.2.2, 118 consid. 2.3; 128 III 4 consid. 4c/bb; arrêt 5A_253/2020 du 25 mars 2021 consid. 3.1.2 et les références).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5A_694/2020 du 7 mai 2021 consid. 3.2; 5A_104/2018 du 2 février 2021 consid. 5.6 destiné à la publication).</w:t>
      </w:r>
    </w:p>
    <w:p>
      <w:r>
        <w:rPr>
          <w:b/>
        </w:rPr>
        <w:t>E. 3.2</w:t>
      </w:r>
    </w:p>
    <w:p>
      <w:r>
        <w:t>La Cour de justice considère qu'aucun revenu hypothétique ne peut être imputé à la défenderesse pour les motifs suivants. D'origine indienne, elle n'a aucune formation et n'a jamais exercé d'activité professionnelle, tant avant que pendant le mariage, puisqu'elle a consacré son temps à la tenue du ménage et à l'éducation des deux filles du couple. Elle parle l'hindi et l'anglais, mais pas le français. Cela étant, indépendamment de cette méconnaissance de la langue française, il ne peut être retenu qu'elle serait en mesure de trouver un emploi. Âgée de 50 ans lors de la séparation, elle en a désormais cinq de plus et, si elle n'est pas atteinte dans sa santé, sa situation précaire l'affecte au point qu'elle est suivie depuis plusieurs mois par un psychiatre. Celui-ci a attesté du désarroi de sa patiente qui, sans famille à Genève, a été expulsée du domicile conjugal avec les enfants faute de pouvoir en assumer le loyer. Compte tenu de ce qui précède, même si l'intimée parle l'anglais et qu'elle s'est occupée de ses propres enfants, elle ne possède pas, selon toute vraisemblance et compte tenu, notamment, de sa fragilité psychique, de son âge ainsi que de son absence de formation, les qualifications nécessaires pour être engagée comme garde d'enfants, même par des personnes anglophones, et ce contrairement à l'opinion du premier juge. Partant, il ne peut être exigé d'elle qu'elle exerce une activité lucrative.</w:t>
      </w:r>
    </w:p>
    <w:p>
      <w:r>
        <w:rPr>
          <w:b/>
        </w:rPr>
        <w:t>E. 3.3</w:t>
      </w:r>
    </w:p>
    <w:p>
      <w:r>
        <w:t>Le recourant reproche à l'autorité cantonale de s'être fondée sur la seule vraisemblance pour nier les possibilités concrètes de l'intimée de reprendre [sic] un emploi. Il expose que la prétendue fragilité psychique de celle-ci ne résulte pas de l'attestation de son psychiatre, qui a simplement constaté une situation d'errance et n'a pas fait état d'un désarroi à propos de sa patiente. L'appréciation de la Cour de justice étant à cet égard insoutenable, il ne serait pas établi que l'exercice d'une activité lucrative ne puisse pas être raisonnablement exigé de l'intimée en raison de son état de santé. Le critère de l'âge ne serait pas non plus un obstacle pour garder des enfants, cette activité étant notoirement aussi exercée par des aînés. L'argument tiré du manque de formation de l'intimée ne serait pas davantage valable, faute d'être suffisamment motivé; l'autorité cantonale aurait du reste fait preuve d'une certaine contradiction à cet égard, puisqu'elle a reconnu des compétences parentales à l'intéressée. Enfin, le déracinement culturel de celle-ci ne saurait être considéré comme un élément en faveur de l'impossibilité de lui imputer un revenu hypothétique, la juridiction précédente ayant par ailleurs relevé qu'un tel déracinement ne justifiait pas la passivité de l'épouse à s'intégrer.</w:t>
      </w:r>
    </w:p>
    <w:p>
      <w:r>
        <w:rPr>
          <w:b/>
        </w:rPr>
        <w:t>E. 3.4</w:t>
      </w:r>
    </w:p>
    <w:p>
      <w:r>
        <w:t>Par cette argumentation, le recourant se contente de présenter sa propre appréciation des faits, sans démontrer en quoi celle effectuée par la cour cantonale serait arbitraire ( art. 106 al. 2 LTF ). Tel est le cas lorsqu'il conteste la manière dont les juges précédents ont apprécié l'état de santé de l'intimé. Il en va de même en tant qu'il prétend qu'en dépit de son âge et de son manque de formation, celle-ci serait effectivement en mesure d'être engagée comme garde d'enfants par des personnes anglophones. Quant au déracinement culturel de l'épouse, l'autorité précédente l'a certes pris en compte pour déterminer si elle avait droit, sur le principe, au versement d'une contribution d'entretien après divorce lui permettant de maintenir son train de vie, mais ce critère n'a pas joué un rôle décisif dans l'examen de la possibilité de lui imputer un revenu hypothétique, si ce n'est sous l'angle, limité, de la langue. A cet égard, le recourant se contente d'affirmer, de manière appellatoire, que comme elle parle anglais, l'intimée serait en mesure d'être engagée comme garde d'enfants par des personnes anglophones. Un tel argument ne suffit manifestement pas à démontrer que les faits auraient été constatés de manière insoutenable. Pour le surplus, on ne voit pas en quoi la Cour de justice, qui s'est référée à des critères pertinents, aurait enfreint le droit fédéral en refusant d'imputer un revenu hypothétique à l'intimée. Le moyen se révèle ainsi mal fondé, en tant qu'il est suffisamment motivé (art. 42 al. 2, 106 al. 2 LTF).</w:t>
      </w:r>
    </w:p>
    <w:p>
      <w:r>
        <w:rPr>
          <w:b/>
        </w:rPr>
        <w:t>E. 4</w:t>
      </w:r>
    </w:p>
    <w:p>
      <w:r>
        <w:t>Le recourant fait aussi grief à la Cour de justice d'avoir violé l'art. 125 et, en particulier, l' art. 125 al. 2 ch. 8 CC en le condamnant à verser à l'intimée une contribution d'entretien sans limite de temps.</w:t>
      </w:r>
    </w:p>
    <w:p>
      <w:r>
        <w:rPr>
          <w:b/>
        </w:rPr>
        <w:t>E. 4.1</w:t>
      </w:r>
    </w:p>
    <w:p>
      <w:r>
        <w:t>Pour fixer la durée de la contribution d'entretien, le juge doit tenir compte de l'ensemble des critères énumérés de façon non exhaustive à l' art. 125 al. 2 CC ( ATF 132 III 598 consid. 9.1; arrêt 5A_800/2016 du 18 août 2017 consid. 6.1), notamment des expectatives de l'assurance-vieillesse et de la prévoyance professionnelle ou d'autres formes de prévoyance (ch. 8). En pratique, l'obligation est souvent fixée jusqu'au jour où le débiteur de l'entretien atteint l'âge de la retraite. Il n'est toutefois pas exclu d'allouer une rente sans limitation de durée ( ATF 141 III 465 consid. 3.2.1; 132 III 593 consid. 7.2; arrêts 5A_399/2019 du 18 septembre 2020 consid. 8.1; 5A_769/2016 du 21 février 2017 consid. 5.2), en particulier lorsque l'amélioration de la situation financière du créancier n'est pas envisageable et que les moyens du débiteur le permettent (arrêts 5A_125/2019 du 9 septembre 2019 consid. 6.3.1; 5A_113/2015 du 3 juillet 2015 consid. 6.2.1 et les références). Le seul fait d'atteindre l'âge de la retraite ne dispense donc pas le débirentier de continuer à verser une pension à l'époux crédirentier (5A_801/2019 du 26 mai 2020 consid. 4.2).</w:t>
      </w:r>
    </w:p>
    <w:p>
      <w:r>
        <w:rPr>
          <w:b/>
        </w:rPr>
        <w:t>E. 4.2</w:t>
      </w:r>
    </w:p>
    <w:p>
      <w:r>
        <w:t>En l'espèce, le recourant prétend que l'autorité cantonale a violé le droit fédéral en ne tenant pas compte du partage par moitié de sa prévoyance professionnelle, qui entraînera pour lui une prestation LPP et, partant, une capacité contributive réduites. Il ne serait en outre pas démontré que la situation financière de l'intimée ne puisse pas s'améliorer.</w:t>
      </w:r>
    </w:p>
    <w:p>
      <w:r>
        <w:t>Ces critiques ne peuvent être admises. Ainsi qu'il a été exposé au considérant précédent, il ne peut être reproché à la cour cantonale d'avoir arbitrairement constaté les faits, ni violé le droit fédéral en considérant qu'aucune activité lucrative ne pouvait être exigée de l'intimée. Sur la base des éléments dont elle disposait, les juges précédents ont ainsi estimé à juste titre qu'une amélioration de la situation financière de celle-ci ne paraissait pas envisageable en l'état. Quant au grief relatif à l'absence d'examen, par l'autorité cantonale, des prestations de la prévoyance professionnelle dont bénéficiera le recourant lorsqu'il sera à la retraite, il n'apparaît pas qu'il ait été présenté en appel. Or, en vertu du principe de l'épuisement des instances ( art. 75 LTF ), le recourant, avant de s'adresser au Tribunal fédéral, doit avoir utilisé toutes les voies de droit cantonales qui permettaient d'obtenir, avec un pouvoir d'examen au moins aussi étendu que celui du Tribunal fédéral, une décision sur les griefs qu'il invoque ( ATF 145 III 42 consid. 2.2.2; 143 III 290 consid. 1.1; 138 III 130 consid. 2.1-2.2 et les références). Une argumentation juridique nouvelle est certes admissible en instance fédérale, mais pour autant qu'elle repose sur les faits retenus par la juridiction cantonale ( ATF 142 I 155 consid. 4.4.3; 138 III 416 consid. 5.2; 134 III 643 consid. 5.3.2; arrêts 4A_215/2020 du 12 mars 2021 consid. 2.2; 8C_667/2019 du 28 janvier 2021 consid. 7.2.2). En l'occurrence, le recourant n'a pas démontré - alors que, conformément à la maxime des débats applicable à la question de la contribution due en faveur de l'ex-conjoint ( art. 277 al. 1 CPC ; notamment: arrêt 5A_776/2019 du 27 octobre 2020 consid. 8), il lui appartenait de faire porter l'instruction sur ce point -, que lorsqu'il sera à la retraite, sa capacité financière sera insuffisante pour payer la pension mise à sa charge. Il convient encore de relever que si la loi permet au juge de tenir compte, lors de la fixation de la contribution d'entretien, des changements de circonstances prévisibles dans la situation du débirentier (ou du crédirentier) et, par conséquent, d'échelonner ou de limiter lesdites contributions, il n'en a pas l'obligation. L'autorité cantonale ne peut donc se voir reprocher d'avoir violé le droit fédéral en allouant à l'intimée une contribution d'entretien non limitée dans le temps.</w:t>
      </w:r>
    </w:p>
    <w:p>
      <w:r>
        <w:t>Si les moyens du recourant ne lui permettent plus de s'acquitter de la contribution d'entretien, il lui appartiendra de demander, cas échéant, une modification ou une suppression de celle-ci ( art. 129 al. 1 CC ; cf. notamment: arrêts 5A_399/2019 du 18 septembre 2020 consid. 8.3; 5A_508/2007 du 3 juin 2018 consid. 4.1 in fine; 5A_424/2014 du 15 décembre 2014 consid. 4.2; 5A_11/2008 du 18 mars 2008 consid. 7.2).</w:t>
      </w:r>
    </w:p>
    <w:p>
      <w:r>
        <w:rPr>
          <w:b/>
        </w:rPr>
        <w:t>E. 5</w:t>
      </w:r>
    </w:p>
    <w:p>
      <w:r>
        <w:t>En conclusion, le recours apparaît mal fondé et ne peut donc être que rejeté, dans la mesure de sa recevabilité. Comme les conclusions du recourant étaient vouées à l'échec, il y a lieu de rejeter sa requête d'assistance judiciaire ( art. 64 LTF ) et de mettre les frais de la procédure à sa charge ( art. 66 al. 1 LTF ). L'intimée a droit à des dépens ( art. 68 al. 1 et 2 LTF ). Cela étant, sa requête d'assistance judiciaire devient en principe sans objet; il convient néanmoins d'y donner suite et de prévoir l'indemnisation de son conseil pour le cas où les dépens ne pourraient être recouvrés.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