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5A_733/2016 vom 5. Oktober 2016</w:t>
      </w:r>
    </w:p>
    <w:p>
      <w:r>
        <w:t>Bundesgericht, 2016-10-05, DE</w:t>
      </w:r>
    </w:p>
    <w:p>
      <w:r>
        <w:rPr>
          <w:b/>
        </w:rPr>
        <w:t xml:space="preserve">Quelle: </w:t>
      </w:r>
      <w:r>
        <w:t>https://mcp.opencaselaw.ch/entscheid/bger_5A_733_2016</w:t>
      </w:r>
    </w:p>
    <w:p>
      <w:r>
        <w:t>FR: TF 5A_733/2016 du 5 octobre 2016</w:t>
      </w:r>
    </w:p>
    <w:p>
      <w:r>
        <w:t>IT: TF 5A_733/2016 del 5 ottobre 2016</w:t>
      </w:r>
    </w:p>
    <w:p>
      <w:pPr>
        <w:pStyle w:val="Heading2"/>
      </w:pPr>
      <w:r>
        <w:t>Erwägungen</w:t>
      </w:r>
    </w:p>
    <w:p>
      <w:r>
        <w:rPr>
          <w:b/>
        </w:rPr>
        <w:t>E. 1</w:t>
      </w:r>
    </w:p>
    <w:p>
      <w:r>
        <w:t>A.________ (geb. 1958, Betroffener) wurde mit Entscheid von Dr. med. C.________, Leitende Ärztin Klinik D.________ vom 16. September 2016 fürsorgerisch in der Psychiatrischen Klinik B.________ untergebracht. Mit Fax-Schreiben vom 16. September 2016 beschwerte sich der Betroffene gegen die Einweisung beim Verwaltungsgericht des Kantons Aargau. Gemäss Fax-Mitteilung der Psychiatrischen Klinik B.________ vom 19. September 2016 wurde der Betroffene bereits am 16. September 2016 aus der Klinik entlassen. Mit Urteil vom 19. September 2016 schrieb das Verwaltungsgericht die Beschwerde als gegenstandslos von der Geschäftskontrolle ab. Der Betroffene (Beschwerdeführer) hat am 1. Oktober 2016 gegen das vorgenannte Urteil beim Bundesgericht Beschwerde erhoben. Es sind keine Vernehmlassungen eingeholt worden.</w:t>
      </w:r>
    </w:p>
    <w:p>
      <w:r>
        <w:rPr>
          <w:b/>
        </w:rPr>
        <w:t>E. 2.1</w:t>
      </w:r>
    </w:p>
    <w:p>
      <w:r>
        <w:t>Die Beschwerde hat einen Antrag zu enthalten ( Art. 42 Abs. 1 BGG ). 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 Blosse Verweise auf die Akten und andere Rechtsschriften sind unzulässig (vgl. BGE 126 III 198 E. 1d).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2.2</w:t>
      </w:r>
    </w:p>
    <w:p>
      <w:r>
        <w:t>Das Obergericht hat unter Berufung auf kantonale Rechtsprechung und insbesondere auf BGE 136 III 497 und das Urteil 5A_290/2013 vom 3. Juni 2013 erwogen, ein Beschwerdeverfahren gegen einen Unterbringungsentscheid werde bei der Entlassung aus der Klinik gegenstandslos, sodass das Verfahren als erledigt von der Geschäftskontrolle abzuschreiben sei.</w:t>
      </w:r>
    </w:p>
    <w:p>
      <w:r>
        <w:rPr>
          <w:b/>
        </w:rPr>
        <w:t>E. 2.3</w:t>
      </w:r>
    </w:p>
    <w:p>
      <w:r>
        <w:t>Der Beschwerdeführer zeigt in seinen Ausführungen nicht anhand der Erwägungen des angefochtenen Urteils auf, inwiefern die Vorinstanz den Sachverhalt willkürlich oder sonst wie gegen Bundesrecht verstossend festgestellt hat. Nicht erörtert wird ferner, inwiefern die Vorinstanz mit ihrem Nichteintretensentscheid Bundesrecht oder die verfassungsmässigen Rechte des Beschwerdeführers verletzt oder kantonales Recht willkürlich angewendet haben soll.</w:t>
      </w:r>
    </w:p>
    <w:p>
      <w:r>
        <w:rPr>
          <w:b/>
        </w:rPr>
        <w:t>E. 2.4</w:t>
      </w:r>
    </w:p>
    <w:p>
      <w:r>
        <w:t>Auf die offensichtlich nicht hinreichend begründete Beschwerde ist somit im vereinfachten Verfahren durch den Präsidenten der Abteilung (Art. 108 Abs. 1 bzw. Art. 108 Abs. 1 lit. b BGG ) nicht einzutreten. Den Umständen des konkreten Falles entsprechend werden keine 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