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732/2020 vom 22. März 2021</w:t>
      </w:r>
    </w:p>
    <w:p>
      <w:r>
        <w:t>Bundesgericht, 2021-03-22, DE</w:t>
      </w:r>
    </w:p>
    <w:p>
      <w:r>
        <w:rPr>
          <w:b/>
        </w:rPr>
        <w:t xml:space="preserve">Quelle: </w:t>
      </w:r>
      <w:r>
        <w:t>https://mcp.opencaselaw.ch/entscheid/bger_5A_732_2020</w:t>
      </w:r>
    </w:p>
    <w:p>
      <w:r>
        <w:t>FR: TF 5A 732/2020 du 22 mars 2021</w:t>
      </w:r>
    </w:p>
    <w:p>
      <w:r>
        <w:t>IT: TF 5A 732/2020 del 22 marzo 2021</w:t>
      </w:r>
    </w:p>
    <w:p>
      <w:pPr>
        <w:pStyle w:val="Heading2"/>
      </w:pPr>
      <w:r>
        <w:t>Regeste</w:t>
      </w:r>
    </w:p>
    <w:p>
      <w:r>
        <w:t>Klage auf Rückforderung von Elternbeiträgen für ein Pflegekind (Rechtsweg/sachliche Zuständigkeit) | Familienrecht</w:t>
      </w:r>
    </w:p>
    <w:p>
      <w:pPr>
        <w:pStyle w:val="Heading2"/>
      </w:pPr>
      <w:r>
        <w:t>Erwägungen</w:t>
      </w:r>
    </w:p>
    <w:p>
      <w:r>
        <w:rPr>
          <w:b/>
        </w:rPr>
        <w:t>E. 1.1</w:t>
      </w:r>
    </w:p>
    <w:p>
      <w:r>
        <w:t>Das angefochtene Urteil betrifft eine Geldforderung aus einer Vereinbarung, die ihre Rechtsgrundlage in der Verordnung über die Aufnahme von Pflegekindern (Pflegekinderverordnung, PAVO) vom 19. Oktober 1977 (SR 211.222.338) und damit im zivilrechtlichen Kindesschutz (Art. 307 ff., insbesondere Art. 316 Abs. 2 ZGB ) findet. Es geht um eine öffentlich-rechtliche Angelegenheit in unmittelbarem Zusammenhang mit dem Zivilrecht (Art. 72 Abs. 2 lit. b Ziff. 6 BGG) vermögensrechtlicher Natur, deren Streitwert mit Fr. 99'866.95 den gesetzlichen Mindestbetrag von Fr. 30'000.-- übersteigt ( Art. 74 Abs. 1 lit. b BGG ). Zulässiges Bundesrechtsmittel ist folglich die Beschwerde in Zivilsachen (Urteil 5A_956/2016 vom 19. Juni 2017 E. 1.1). Das Urteil des Verwaltungsgerichts, auf die Klage mangels Zuständigkeit nicht einzutreten, kann unabhängig davon angefochten werden, ob es als verfahrensabschliessender Entscheid ( Art. 90 BGG ) oder als selbständig eröffneter Entscheid über die Zuständigkeit ( Art. 92 BGG ) erfasst wird ( BGE 139 V 170 E. 2.2 S. 172).</w:t>
      </w:r>
    </w:p>
    <w:p>
      <w:r>
        <w:rPr>
          <w:b/>
        </w:rPr>
        <w:t>E. 1.2.1</w:t>
      </w:r>
    </w:p>
    <w:p>
      <w:r>
        <w:t>Mit der Marginalie "Vorinstanzen" bestimmt Art. 75 BGG , dass die Beschwerde in Zivilsachen gegen Entscheide letzter kantonaler Instanzen zulässig ist (Abs. 1) und dass die Kantone als letzte kantonale Instanzen obere Gerichte einsetzen (Abs. 2 Satz 1), die als Rechtsmittelinstanzen entscheiden (Abs. 2 Satz 2 erster Teil) mit Ausnahme der Fälle, in denen ein Bundesgesetz eine einzige kantonale Instanz vorsieht, ein Fachgericht für handelsrechtliche Streitigkeiten als einzige kantonale Instanz entscheidet oder eine Klage mit einem Streitwert von mindestens 100 000 Franken mit Zustimmung aller Parteien direkt beim oberen Gericht eingereicht wurde (Satz 2 zweiter Teil lit. a-c). Die in Art. 130 Abs. 2 BGG vorgesehene Übergangsfrist zur Anpassung des kantonalen Verfahrens an Art. 75 Abs. 2 BGG ist längstens abgelaufen. Die Eintretensvoraussetzung gilt für Endentscheide, aber auch - von hier nicht zutreffenden, auf das kantonale Rechtsmittelverfahren bezogenen Ausnahmen - für selbständig eröffnete Zwischenentscheide ( BGE 137 III 424 E. 2.2 S. 426; 138 III 41 E. 1.1 S. 42; 143 III 140 E. 1.2 S. 144). Das Verwaltungsgericht hat als oberes kantonales Gericht, aber nicht als Rechtsmittelinstanz, sondern als einzige kantonale Instanz entschieden. Von den Ausnahmetatbeständen fällt ausschliesslich in Betracht, dass ein Bundesgesetz eine einzige kantonale Instanz vorsieht ( Art. 75 Abs. 2 lit. a BGG ). Zu prüfen ist, ob Bundesrecht hier dem kantonalen Recht vorschreibt oder gestattet, eine einzige Instanz vorzusehen ( BGE 138 III 799 E. 1.1 S. 800, 2 E. 1.2.2 S. 5).</w:t>
      </w:r>
    </w:p>
    <w:p>
      <w:r>
        <w:rPr>
          <w:b/>
        </w:rPr>
        <w:t>E. 1.2.2</w:t>
      </w:r>
    </w:p>
    <w:p>
      <w:r>
        <w:t>Eine entsprechende Bestimmung findet sich weder im Kindesschutzrecht allgemein noch in der Pflegekinderverordnung im Besonderen. Die schriftliche Verpflichtung der Pflegeeltern gemäss Art. 6 PAVO (Abs. 4 in der früheren Fassung [AS 1989 54] und Abs. 3 in der geltenden Fassung) bezweckt, den familienrechtlichen Unterhaltsanspruch gemäss Art. 276 ff. ZGB , der dem ausländischen Adoptivpflegekind nicht zusteht, dem Umfang nach zu ersetzen (vgl. Kreisschreiben des Bundesrats an die Aufsichtsbehörden über das Pflegekinderwesen und die Adoptionsvermittlung, BBl. 1989 I 3, S. 11 Ziff. 114.5). Zur Behördenorganisation sagt die PAVO in diesem Punkt nichts. Sie verweist lediglich darauf, dass Verfügungen, welche die Kindesschutzbehörde gestützt auf diese Verordnung erlässt, der Beschwerde an das zuständige Gericht ( Art. 450 ZGB ) unterliegen ( Art. 27 Abs. 1 PAVO ). Als zuständiges Gericht aber entscheiden - je nach kantonaler Organisation - Zivil- oder Verwaltungsgerichte als Rechtsmittelinstanzen. Die Schweizerische Zivilprozessordnung (ZPO, SR 272) ihrerseits sieht im hier fraglichen Bereich ebenso wenig eine einzige kantonale Instanz vor ( Art. 5 ff. ZPO ), soweit sie hier anwendbar sein könnte (vgl. Art. 450f ZGB ).</w:t>
      </w:r>
    </w:p>
    <w:p>
      <w:r>
        <w:rPr>
          <w:b/>
        </w:rPr>
        <w:t>E. 1.2.3</w:t>
      </w:r>
    </w:p>
    <w:p>
      <w:r>
        <w:t>Die streitige erst- und letztinstanzliche Zuständigkeit des kantonalen Verwaltungsgerichts könnte ihre Rechtsgrundlage folglich einzig im kantonalen Recht finden (z.B. die Vorbehalte in Art. 27 Abs. 2 PAVO , Art. 293 ZGB u.a.m.), das der Regelung im Bundesrechtspflegegesetz indessen von vornherein nicht derogieren kann ( BGE 119 II 183 E. 4 und 5 S. 185 ff.; 128 IV 137 E. 3a S. 143 ; 131 I 242 E. 3.2 S. 246; 139 III 252 E. 1.6 S. 255).</w:t>
      </w:r>
    </w:p>
    <w:p>
      <w:r>
        <w:rPr>
          <w:b/>
        </w:rPr>
        <w:t>E. 1.3</w:t>
      </w:r>
    </w:p>
    <w:p>
      <w:r>
        <w:t>Insgesamt ist die Beschwerde in Zivilsachen unzulässig, da das kantonale Verwaltungsgericht erstinstanzlich und nicht auf Rechtsmittel hin entschieden hat und sich dafür auf keine Ausnahmebestimmung stützen kann. Eine Entgegennahme der Eingabe als subsidiäre Verfassungsbeschwerde fällt ausser Betracht, da Art. 75 BGG auch diesbezüglich gilt ( Art. 114 BGG ; BGE 137 III 238 E. 2.2 S. 240; 141 III 188 E. 4.1 S. 190; 143 III 140 E. 1.2 S. 143).</w:t>
      </w:r>
    </w:p>
    <w:p>
      <w:r>
        <w:rPr>
          <w:b/>
        </w:rPr>
        <w:t>E. 2</w:t>
      </w:r>
    </w:p>
    <w:p>
      <w:r>
        <w:t>Der Kanton Aargau ist somit verpflichtet, ein kantonales Rechtsmittel zur Verfügung zu stellen, um den Anforderungen des BGG gerecht zu werden. Nach der Praxis des Bundesgerichts gehen die Akten in einem Fall wie dem vorliegenden zur weiteren Behandlung an das Verwaltungsgericht zurück. Zwar ist der Kanton und nicht das Gericht selbst verpflichtet, ein Rechtsmittel zu schaffen. Praktisch lässt sich das aber, soweit bereits das Verwaltungsgericht als Erstinstanz geurteilt hat, nicht anders handhaben, als dass das Verwaltungsgericht in anderer Besetzung die Rechtsmitteleingabe beurteilt und einen zweitinstanzlichen Entscheid fällt ( BGE 139 III 252 E. 1.6 S. 255 f.; Urteile 5A_1007/2018 vom 26. Juni 2019 E. 3 und 5A_930/2016 vom 17. Januar 2017 E. 3, beide den Kanton Aargau betreffend; 5A_697/2016 vom 25. November 2016 E. 2.4; vgl. ERRASS, in: Basler Kommentar, 3. Aufl. 2018, N. 30 ff. zu Art. 130 BGG ; VON WERDT/GÜNGERICH, in: Bundesgerichtsgesetz, 2. Aufl. 2015, N. 5 zu Art. 75 BGG ; SEILER, in: Bundesgerichtsgesetz, 2. Aufl. 2015, N. 12 zu Art. 130 BGG ; FERRARI, in: Commentaire de la LTF, 2. Aufl. 2014, N. 14 zu Art. 130 BGG ).</w:t>
      </w:r>
    </w:p>
    <w:p>
      <w:r>
        <w:rPr>
          <w:b/>
        </w:rPr>
        <w:t>E. 3</w:t>
      </w:r>
    </w:p>
    <w:p>
      <w:r>
        <w:t>Praxisgemäss werden keine Gerichtskosten erhoben und sind allfällige Parteikosten im Rahmen des zweitinstanzlichen kantonalen Entscheides zu liquidieren (zit. Urteile 5A_1007/2018 E. 5.1; 5A_930/2016 E. 4; 5A_697/2016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