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5A_732/2018 vom 13. September 2018</w:t>
      </w:r>
    </w:p>
    <w:p>
      <w:r>
        <w:t>Bundesgericht, 2018-09-13, DE</w:t>
      </w:r>
    </w:p>
    <w:p>
      <w:r>
        <w:rPr>
          <w:b/>
        </w:rPr>
        <w:t xml:space="preserve">Quelle: </w:t>
      </w:r>
      <w:r>
        <w:t>https://mcp.opencaselaw.ch/entscheid/bger_5A_732_2018</w:t>
      </w:r>
    </w:p>
    <w:p>
      <w:r>
        <w:t>FR: TF 5A_732/2018 du 13 septembre 2018</w:t>
      </w:r>
    </w:p>
    <w:p>
      <w:r>
        <w:t>IT: TF 5A_732/2018 del 13 settembre 2018</w:t>
      </w:r>
    </w:p>
    <w:p>
      <w:pPr>
        <w:pStyle w:val="Heading2"/>
      </w:pPr>
      <w:r>
        <w:t>Erwägungen</w:t>
      </w:r>
    </w:p>
    <w:p>
      <w:r>
        <w:rPr>
          <w:b/>
        </w:rPr>
        <w:t>E. 1</w:t>
      </w:r>
    </w:p>
    <w:p>
      <w:r>
        <w:t>Das Bundesgericht legt seinem Urteil den von der Vorinstanz festgestellten Sachverhalt zugrunde ( Art. 105 Abs. 1 BGG ). In diesem Bereich kann nur eine offensichtlich unrichtige - d.h. willkürliche, in Verletzung von Art. 9 BV ergangene ( BGE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w:t>
      </w:r>
    </w:p>
    <w:p>
      <w:r>
        <w:t>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Soweit die Beschwerdeführerin ihre Geschichte ausführt und die Sachverhaltsfeststellungen des angefochtenen Entscheides kritisiert, tut sie dies ausschliesslich in appellatorischer Weise. Darauf kann nach dem Gesagten nicht eingetreten werden und es ist folglich von den im angefochtenen Entscheid getroffenen Feststellungen auszugehen.</w:t>
      </w:r>
    </w:p>
    <w:p>
      <w:r>
        <w:rPr>
          <w:b/>
        </w:rPr>
        <w:t>E. 3</w:t>
      </w:r>
    </w:p>
    <w:p>
      <w:r>
        <w:t>In ihren weiteren Ausführungen zeigt die Beschwerdeführerin nicht auf, dass und inwiefern das Obergericht ausgehend von den getroffenen Sachverhaltsfeststellungen mit seinen ausführlichen Erwägungen Recht verletzt haben soll. Sie bringt einzig in allgemeiner Weise vor, die verschiedenen kantonalen Stellen hätten eine rechtliche Kakophonie angerichtet und sie in die Irre geführt, was gegen Art. 6 und 13 EMRK sowie Art. 5, 6, 29 und 30 BV verstosse. Indes erfolgt dazu keinerlei konkrete Darlegung.</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Entscheid in der Sache wird das Begehren um aufschiebende Wirkung bzw. Erlass vorsorglicher Massnahmen gegenstandslos.</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