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5A_732/2012 vom 4. Dezember 2012</w:t>
      </w:r>
    </w:p>
    <w:p>
      <w:r>
        <w:t>Bundesgericht, 2012-12-04, DE</w:t>
      </w:r>
    </w:p>
    <w:p>
      <w:r>
        <w:rPr>
          <w:b/>
        </w:rPr>
        <w:t xml:space="preserve">Quelle: </w:t>
      </w:r>
      <w:r>
        <w:t>https://mcp.opencaselaw.ch/entscheid/bger_5A_732_2012</w:t>
      </w:r>
    </w:p>
    <w:p>
      <w:r>
        <w:t>FR: TF 5A_732/2012 du 4 décembre 2012</w:t>
      </w:r>
    </w:p>
    <w:p>
      <w:r>
        <w:t>IT: TF 5A_732/2012 del 4 dicembre 2012</w:t>
      </w:r>
    </w:p>
    <w:p>
      <w:pPr>
        <w:pStyle w:val="Heading2"/>
      </w:pPr>
      <w:r>
        <w:t>Erwägungen</w:t>
      </w:r>
    </w:p>
    <w:p>
      <w:r>
        <w:rPr>
          <w:b/>
        </w:rPr>
        <w:t>E. 1</w:t>
      </w:r>
    </w:p>
    <w:p>
      <w:r>
        <w:t>Das Bundesgericht überprüft von Amtes wegen und mit freier Kognition, ob eine Beschwerde zulässig ist ( BGE 135 III 212 E. 1 S. 216; 134 III 115 E. 1 S. 117, je mit Hinweisen).</w:t>
      </w:r>
    </w:p>
    <w:p>
      <w:r>
        <w:rPr>
          <w:b/>
        </w:rPr>
        <w:t>E. 2</w:t>
      </w:r>
    </w:p>
    <w:p>
      <w:r>
        <w:t>Rechtzeitig ( Art. 100 BGG ) ficht der Beschwerdeführer den Entscheid einer letzten kantonalen Instanz ( Art. 75 BGG ) über vorsorgliche Massnahmen für die Dauer des Abänderungsprozesses an. Streitig in dieser Zivilsache ( Art. 72 Abs. 1 BGG ) ist die Unterhaltspflicht des Beschwerdeführers. Das ist eine Frage vermögensrechtlicher Natur ( BGE 133 III 393 E. 2 S. 395). Die gesetzliche Streitwertgrenze ( Art. 74 Abs. 1 lit. b BGG ) ist erreicht.</w:t>
      </w:r>
    </w:p>
    <w:p>
      <w:r>
        <w:rPr>
          <w:b/>
        </w:rPr>
        <w:t>E. 3</w:t>
      </w:r>
    </w:p>
    <w:p>
      <w:r>
        <w:t>Fraglich ist, ob der angefochtene Entscheid einen Endentscheid ( Art. 90 BGG ) oder einen Zwischenentscheid ( Art. 93 BGG ) darstellt.</w:t>
      </w:r>
    </w:p>
    <w:p>
      <w:r>
        <w:rPr>
          <w:b/>
        </w:rPr>
        <w:t>E. 3.1</w:t>
      </w:r>
    </w:p>
    <w:p>
      <w:r>
        <w:t>Nach der Rechtsprechung gilt ein Entscheid, der vorsorgliche Massnahmen für die Dauer des Scheidungsverfahrens anordnet, als Endentscheid im Sinne von Art. 90 BGG , weil er aus verfahrensrechtlicher Sicht die Instanz abschliesst und einen anderen Gegenstand hat als der Hauptsacheprozess, in welchem es um die Scheidung geht. Während des Scheidungsverfahrens entscheidet der Massnahmerichter in einem eigenen Verfahren über Fragen, die im Rahmen einer Beschwerde betreffend die Scheidung oder deren Nebenfolgen nicht mehr überprüft werden können ( BGE 134 III 426 E. 2.2 E. 431 f. mit Hinweisen).</w:t>
      </w:r>
    </w:p>
    <w:p>
      <w:r>
        <w:rPr>
          <w:b/>
        </w:rPr>
        <w:t>E. 3.2</w:t>
      </w:r>
    </w:p>
    <w:p>
      <w:r>
        <w:t>Anders verhält es sich bei vorsorglichen Massnahmen, die im Rahmen eines Abänderungsprozesses erlassen werden, der die Herabsetzung rechtskräftig festgesetzter Alimente zum Gegenstand hat. Weil die bestehende Unterhaltsregelung solange in Kraft und vollstreckbar bleibt, bis über die Abänderung endgültig entschieden ist, können die Unterhaltsbeiträge nur unter besonderen Umständen auch schon vorsorglich herabgesetzt oder aufgehoben werden. Zu denken ist insbesondere an den Fall, da der Rentenschuldner aufgrund prekärer wirtschaftlicher Verhältnisse dringend darauf angewiesen ist, die Unterhaltsbeiträge schon während der Dauer des Herabsetzungsprozesses nicht mehr in ihrer bisherigen Höhe bezahlen zu müssen ( BGE 118 II 228 E. 3b S. 228 f.).</w:t>
      </w:r>
    </w:p>
    <w:p>
      <w:r>
        <w:t>Mit Blick auf die Frage nach der Rechtsnatur für die Dauer eines Herabsetzungsprozesses erlassener vorsorglicher Massnahmen ist entscheidend, dass die Ermässigung (oder Aufhebung) der Unterhaltsleistungen auch im Hauptsacheverfahren schon ab dem Zeitpunkt der Rechtshängigkeit der Klage verlangt und angeordnet werden kann, soweit die Umstände des Einzelfalles nicht dagegen sprechen. Letzteres kann namentlich der Fall sein, wenn die Rückerstattung zu viel erhaltener und bestimmungsgemäss verbrauchter Alimente für den Unterhaltsgläubiger unter Billigkeitsgesichtspunkten unzumutbar wäre ( BGE 117 II 368 E. 4c S. 469 ff.; Urteil 5A_290/2010 vom 28. Oktober 2010 E. 9.1). Anders als im Scheidungsprozess, wo der Endentscheid in der Hauptsache - das Scheidungsurteil - seine Wirkung erst vom Zeitpunkt seiner Rechtskraft an entfaltet und für die Zeit davor ausschliesslich die vorsorglichen (Regelungs-)Massnahmen gelten, kann sich der Endentscheid im Herabsetzungsprozess also auf diejenige Zeitspanne beziehen, während der bereits eine vorsorgliche Herabsetzung der Unterhaltsbeiträge gilt. Daraus aber folgt, dass ein Massnahmeentscheid wie der angefochtene, der die Alimente für die Dauer des Abänderungsprozesses ermässigt, nicht selbst ein Endentscheid sein kann. Vielmehr ist die provisorische Ermässigung eine Massnahme zur antizipierten Vollstreckung dessen, was der Kläger auch in der Hauptsache verlangen und was ihm der Richter - unter Vorbehalt besonderer Umstände - auch zusprechen kann. Dementsprechend muss der Richter, wenn er in der Hauptsache über die Abänderung der Unterhaltspflicht seit Rechtshängigkeit der Abänderungsklage urteilt, in seinem Endentscheid auch berücksichtigen, was der Unterhaltsschuldner unter der Herrschaft des vorsorglichen Rechtsschutzes bereits geleistet hat (vgl. BGE 138 III 333 E. 1.2 S. 334 f.; 135 III 238 E. 2 S. 239 ; 130 I 347 E. 1.2 S. 350). Hat ein selbständig eröffneter Massnahmeentscheid, der während des Hauptsacheverfahrens ergeht, aber nur für die Dauer des Hauptsacheverfahrens Bestand, so ist er ein Zwischenentscheid im Sinne von Art 93 BGG (vgl. BGE 134 I 83 E. 3.1 S. 86 f.).</w:t>
      </w:r>
    </w:p>
    <w:p>
      <w:r>
        <w:rPr>
          <w:b/>
        </w:rPr>
        <w:t>E. 3.3</w:t>
      </w:r>
    </w:p>
    <w:p>
      <w:r>
        <w:t>Gegen Zwischenentscheide wie den vorliegenden ist die Beschwerde nur zulässig, wenn sie einen nicht wieder gutzumachenden Nachteil bewirken können (Art. 93 Asb. 1 lit. b BGG). Nach der Rechtsprechung obliegt es grundsätzlich dem Beschwerdeführer darzutun, dass diese Voraussetzung erfüllt ist ( BGE 133 III 629 E. 2.3.1 S. 632 und E. 2.4.2 S. 633). Der Beschwerdeführer äussert sich gar nicht zur Frage, ob er einen Endentscheid gemäss Art. 90 BGG oder einen Zwischenentscheid im Sinne von Art. 93 BGG anficht. Entsprechend macht er auch nicht geltend, der angefochtene Entscheid könne einen nicht wieder gutzumachenden Nachteil bewirken. Tut der Beschwerdeführer aber überhaupt nicht dar, warum ein selbständig anfechtbarer Zwischenentscheid im Sinne von Art. 93 Abs. 1 BGG vorliegt, übersieht er mithin diese Eintretensfrage schlechthin, so kann das Bundesgericht von vornherein nicht auf die Beschwerde eintreten (Urteil 5A_403/2011 vom 17. November 2011 E. 2.4 mit Hinweisen).</w:t>
      </w:r>
    </w:p>
    <w:p>
      <w:r>
        <w:rPr>
          <w:b/>
        </w:rPr>
        <w:t>E. 4</w:t>
      </w:r>
    </w:p>
    <w:p>
      <w:r>
        <w:t>Bei diesem Ausgang des Verfahrens unterliegt der Beschwerdeführer. Er wird kostenpflichtig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