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5A_731/2015 vom 18. September 2015</w:t>
      </w:r>
    </w:p>
    <w:p>
      <w:r>
        <w:t>Bundesgericht, 2015-09-18, DE</w:t>
      </w:r>
    </w:p>
    <w:p>
      <w:r>
        <w:rPr>
          <w:b/>
        </w:rPr>
        <w:t xml:space="preserve">Quelle: </w:t>
      </w:r>
      <w:r>
        <w:t>https://mcp.opencaselaw.ch/entscheid/bger_5A_731_2015</w:t>
      </w:r>
    </w:p>
    <w:p>
      <w:r>
        <w:t>FR: TF 5A_731/2015 du 18 septembre 2015</w:t>
      </w:r>
    </w:p>
    <w:p>
      <w:r>
        <w:t>IT: TF 5A_731/2015 del 18 settembre 2015</w:t>
      </w:r>
    </w:p>
    <w:p>
      <w:pPr>
        <w:pStyle w:val="Heading2"/>
      </w:pPr>
      <w:r>
        <w:t>Volltext</w:t>
      </w:r>
    </w:p>
    <w:p>
      <w:r>
        <w:t>Bundesgericht</w:t>
      </w:r>
    </w:p>
    <w:p>
      <w:r>
        <w:t>Tribunal fédéral</w:t>
      </w:r>
    </w:p>
    <w:p>
      <w:r>
        <w:t>Tribunale federale</w:t>
      </w:r>
    </w:p>
    <w:p>
      <w:r>
        <w:t>Tribunal federal</w:t>
      </w:r>
    </w:p>
    <w:p>
      <w:r>
        <w:t>{T 0/2}</w:t>
      </w:r>
    </w:p>
    <w:p>
      <w:r>
        <w:t>5A_731/2015</w:t>
      </w:r>
    </w:p>
    <w:p>
      <w:r>
        <w:t>Urteil vom 18.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Staat und Stadt Zürich,</w:t>
      </w:r>
    </w:p>
    <w:p>
      <w:r>
        <w:t>vertreten durch das Steueramt der Stadt Zürich,</w:t>
      </w:r>
    </w:p>
    <w:p>
      <w:r>
        <w:t>Beschwerdegegner,</w:t>
      </w:r>
    </w:p>
    <w:p>
      <w:r>
        <w:t>Betreibungsamt Zürich 11.</w:t>
      </w:r>
    </w:p>
    <w:p>
      <w:r>
        <w:t>Gegenstand</w:t>
      </w:r>
    </w:p>
    <w:p>
      <w:r>
        <w:t>Avisierung eines Zahlungsbefehls,</w:t>
      </w:r>
    </w:p>
    <w:p>
      <w:r>
        <w:t>Beschwerde nach Art. 72 ff. BGG gegen das Urteil vom 24. August 2015 des Obergerichts des Kantons Zürich (II. Zivilkammer als obere kantonale Aufsichtsbehörde über Schuldbetreibung und Konkurs).</w:t>
      </w:r>
    </w:p>
    <w:p>
      <w:r>
        <w:t>Nach Einsicht</w:t>
      </w:r>
    </w:p>
    <w:p>
      <w:r>
        <w:t>in die Beschwerde gemäss Art. 72 ff. BGG gegen das Urteil vom 24. August 2015 des Obergerichts des Kantons Zürich, das (als obere SchK-Aufsichtsbehörde) eine Beschwerde des Beschwerdeführers gegeneinen Nichteintretensentscheid der unteren Aufsichtsbehörde (Nichteintreten - mangels eines tauglichen Anfechtungsobjekts - auf eine erste Beschwerde des Beschwerdeführers gegen die blosse Avisierungeines Zahlungsbefehls) abgewiesen hat, soweit es darauf eingetreten ist,</w:t>
      </w:r>
    </w:p>
    <w:p>
      <w:r>
        <w:t>in Erwägung,</w:t>
      </w:r>
    </w:p>
    <w:p>
      <w:r>
        <w:t>dass das Obergericht erwog, die verspätet eingereichte Verbesserung der Beschwerdeschrift bleibe unberücksichtigt, zu Recht habe die Vorinstanz die blosse Einladung bzw. Aufforderung zur Abholung des Zahlungsbefehls, die noch keine Zustellung bedeute und das Vollstreckungsverfahren nicht vorantreibe, nicht als beschwerdefähige Verfügung im Sinne von Art. 17 SchKG qualifiziert, der Beschwerdeführer könne nach erfolgter Zustellung Beschwerde gegen den Zahlungsbefehl erheben, abgesehen davon wäre selbst ein während der Betreibungsferien zugestellter Zahlungsbefehl weder nichtig noch anfechtbar, es werde lediglich die Wirkung der Zustellung hinausgeschoben ( BGE 132 II 153 E. 3.3), die materielle Begründetheit der Betreibungsforderung sei im Verfahren vor den Aufsichtsbehörden nicht zu prüfen, die vom Beschwerdeführer erstmals im Rechtsmittelverfahren behaupteten "Straftaten" seien wegen des Novenverbots unbeachtlich und im Übrigen weder dargelegt noch ersichtlich,</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das Urteil des Obergerichts vom 24. August 2015 rechts- oder verfassungswidrig sein soll,</w:t>
      </w:r>
    </w:p>
    <w:p>
      <w:r>
        <w:t>dass die vom Beschwerdeführer in Aussicht gestellte Verbesserung der Beschwerdeschrift nach Ablauf der Beschwerdefrist ausgeschlossen ist,</w:t>
      </w:r>
    </w:p>
    <w:p>
      <w:r>
        <w:t>dass somit auf die - offensichtlich keine hinreichende Begründung enthaltende und nicht verbesserbare - Beschwerde in Anwendung von Art. 108 Abs. 1 lit.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den Parteien, dem Betreibungsamt Zürich 11 und dem Obergericht des Kantons Zürich schriftlich mitgeteilt.</w:t>
      </w:r>
    </w:p>
    <w:p>
      <w:r>
        <w:t>Lausanne, 18.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