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730/2008 vom 22. Dezember 2008</w:t>
      </w:r>
    </w:p>
    <w:p>
      <w:r>
        <w:t>Bundesgericht, 2008-12-22, FR</w:t>
      </w:r>
    </w:p>
    <w:p>
      <w:r>
        <w:rPr>
          <w:b/>
        </w:rPr>
        <w:t xml:space="preserve">Quelle: </w:t>
      </w:r>
      <w:r>
        <w:t>https://mcp.opencaselaw.ch/entscheid/bger_5A_730_2008</w:t>
      </w:r>
    </w:p>
    <w:p>
      <w:r>
        <w:t>FR: TF 5A 730/2008 du 22 décembre 2008</w:t>
      </w:r>
    </w:p>
    <w:p>
      <w:r>
        <w:t>IT: TF 5A 730/2008 del 22 dicembre 2008</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Il a par ailleurs été déposé dans le délai ( art. 100 al. 1 LTF ). Le recours en matière civile est dès lors en principe recevable.</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soit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recevable au regard de l' art. 75 al. 1 LTF , le tribunal d'arrondissement s'étant prononcé en dernière instance cantonale.</w:t>
      </w:r>
    </w:p>
    <w:p>
      <w:r>
        <w:rPr>
          <w:b/>
        </w:rPr>
        <w:t>E. 1.3</w:t>
      </w:r>
    </w:p>
    <w:p>
      <w:r>
        <w:t>Dès lors que les mesures protectrices de l'union conjugale sont considérées comme des mesures provisionnelles au sens de l' art. 98 LTF ( ATF 133 III 393 consid. 5 p. 396), seule peut être invoquée à leur encontre la violation de droits constitutionnels. Lorsque le recourant se plaint de la violation de l'interdiction prévue par l' art. 9 Cst. , le Tribunal fédéral examine si la décision attaquée applique le droit civil matériel de manière insoutenable ou repose sur des constatations de fait établies de façon manifestement inexacte. Il ne sanctionne en outre la violation de droits fondamentaux que si ce moyen est invoqué et motivé par le recourant ( art. 106 al. 2 LTF ); les exigences de motivation de l'acte de recours correspondent à celles de l'ancien art. 90 al. 1 let. b OJ ( ATF 133 III 638 consid. 2 p. 639). Plus particulièrement, le recourant qui se plaint d'arbitraire ne peut se borner à critiquer la décision attaquée comme il le ferait en procédure d'appel, où l'autorité de recours jouit d'une libre cognition; il ne peut notamment se contenter d'opposer son opinion à celle de l'autorité cantonale, mais doit démontrer, par une argumentation précise, que cette décision repose sur une application de la loi ou une appréciation des preuves manifestement insoutenables. S'agissant de ce dernier point, il doit établir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 Le Tribunal fédéral n'entre pas en matière sur les critiques de nature appellatoire ( ATF 133 III 638 consid. 2 p. 639). Par ailleurs, aucun fait nouveau ni preuve nouvelle ne peut être présenté, à moins de résulter de la décision de l'autorité précédente ( art. 99 al. 1 LTF ).</w:t>
      </w:r>
    </w:p>
    <w:p>
      <w:r>
        <w:rPr>
          <w:b/>
        </w:rPr>
        <w:t>E. 1.4</w:t>
      </w:r>
    </w:p>
    <w:p>
      <w:r>
        <w:t>Une décision est arbitraire ( art. 9 Cst. ) lorsqu'elle est manifestement insoutenable, méconnaît gravement un principe juridique clair et incontesté, ou heurte de manière choquante le sentiment de la justice et de l'équité; il ne suffit pas que sa motivation soit insoutenable; encore faut-il que la décision apparaisse arbitraire dans son résultat ( ATF 134 I 140 consid. 5.4 p. 148 et les arrêts cités). Par ailleurs en matière d'appréciation des preuves et de constatation des faits, le Tribunal fédéral se montre réservé, vu le large pouvoir qu'il reconnaît en la matière aux autorités cantonales ( ATF 120 Ia 31 consid. 4b p. 40).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129 I 8 consid. 2.1 p. 9); encore faut-il que la correction du vice soit susceptible d'influer sur le sort de la cause (art. 97 al. 1 in fine LTF).</w:t>
      </w:r>
    </w:p>
    <w:p>
      <w:r>
        <w:rPr>
          <w:b/>
        </w:rPr>
        <w:t>E. 2</w:t>
      </w:r>
    </w:p>
    <w:p>
      <w:r>
        <w:t>Le tribunal d'arrondissement a rejeté l'appel du recourant au terme d'une double motivation: la première repose sur l'absence de circonstances, en l'occurrence une dégradation de la situation financière, justifiant la modification des mesures protectrices de l'union conjugale en vigueur; la seconde a trait au caractère non excessif de la quotité de la contribution d'entretien au regard du train de vie et de la fortune de l'intéressé. Lorsque la décision attaquée se fonde, comme en l'espèce, sur plusieurs motivations indépendantes, alternatives ou subsidiaires, toutes suffisantes, le recourant doit, sous peine d'irrecevabilité, démontrer que chacune d'entre elles est contraire au droit ( ATF 133 IV 119 consid. 6.3 p. 120). Le recours remplissant ces exigences, il convient d'entrer en matière.</w:t>
      </w:r>
    </w:p>
    <w:p>
      <w:r>
        <w:rPr>
          <w:b/>
        </w:rPr>
        <w:t>E. 3</w:t>
      </w:r>
    </w:p>
    <w:p>
      <w:r>
        <w:t>Le recourant conteste que sa situation ne se soit pas dégradée depuis la signature de la convention sur mesures protectrices du 8 novembre 2005. Il reproche au tribunal d'arrondissement d'avoir méconnu les circonstances qui ont fondé la conclusion de cet accord. Il allègue en particulier que l'autorité cantonale ne pouvait - sans arbitraire - méconnaître qu'il n'avait alors pas encore pu saisir toute l'ampleur de ses difficultés, ainsi que l'avait attesté l'expert-comptable entendu comme témoin en première instance et dont l'ordonnance du 20 avril 2006 rapportait les propos. Elle aurait en outre dû prendre en considération que la convention était censée être limitée dans le temps et a été passée dans le cadre d'une conciliation intervenue en cours d'audience qui ne laissait que peu de temps à la réflexion. Enfin, elle aurait dû contrôler les éléments ayant fondé la conclusion de l'accord, en particulier la situation économique du mari à cette époque et la capacité de ce dernier à assumer les aliments convenus. Le recourant conclut qu'en définitive, l'arrêt attaqué a pour conséquence de le contraindre au versement d'aliments manifestement excessifs pour une durée qui n'était pas prévisible au moment de la signature de la convention. Il y voit une violation insoutenable de la maxime inquisitoire et des art. 176 ss CC .</w:t>
      </w:r>
    </w:p>
    <w:p>
      <w:r>
        <w:rPr>
          <w:b/>
        </w:rPr>
        <w:t>E. 3.1</w:t>
      </w:r>
    </w:p>
    <w:p>
      <w:r>
        <w:t>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 art. 179 al. 1 CC ; arrêt 5P. 387/2002 du 27 février 2003 consid. 2 résumé in FamPra.ch 2003 p. 636; HAUSHEER/REUSSER/GEISER, Commentaire bernois, nos 8 et 8a ad art. 179 CC ; BRÄM/HASENBÖHLER, Commentaire zurichois, nos 7 s. ad art. 179 CC ; Hasenböhler, Commentaire bâlois, no 4 ad art. 179 CC ).</w:t>
      </w:r>
    </w:p>
    <w:p>
      <w:r>
        <w:rPr>
          <w:b/>
        </w:rPr>
        <w:t>E. 3.2</w:t>
      </w:r>
    </w:p>
    <w:p>
      <w:r>
        <w:t>A cet égard, le tribunal d'arrondissement - qui s'est référé à l'état de fait de l'ordonnance attaquée du 20 avril 2006 - a considéré que l'appelant n'avait pas établi une dégradation de sa situation financière depuis la signature de la convention en novembre 2005; il savait ce qu'il en était, dans la mesure où dans sa requête d'appel, il exposait lui-même que la situation était mauvaise depuis 2001 déjà.</w:t>
      </w:r>
    </w:p>
    <w:p>
      <w:r>
        <w:rPr>
          <w:b/>
        </w:rPr>
        <w:t>E. 3.3</w:t>
      </w:r>
    </w:p>
    <w:p>
      <w:r>
        <w:t>Lorsque, se référant au témoignage de l'expert comptable rapporté dans l'ordonnance du 20 avril 2006, le recourant reproche à l'autorité cantonale d'avoir ignoré qu'au moment de la signature de la convention de novembre 2005, il n'avait pas encore pu saisir toute l'ampleur de ses difficultés financières, il fait une citation tronquée. Si ce témoin a déclaré que le recourant n'a connu l'évolution négative de sa trésorerie qu'à la fin de l'année 2006 ou au début de l'année 2007, il a aussi ajouté que l'intéressé savait depuis longtemps que le mandat de sa société en nom collectif dont il tirait un revenu annuel d'environ 300'000 fr. se terminerait au début de l'année 2006. Il résulte par ailleurs de l'ordonnance du 20 avril 2006 que, dans sa première requête de mesures protectrices du 29 juillet 2005, le recourant avait déjà invoqué le caractère extrêmement précaire de sa situation et le fait qu'il était obligé de s'endetter pour couvrir ses besoins courants et ceux de sa famille. Au vu de ces faits - qui ne sont pas contestés (cf. supra, consid. 1.3) -, le tribunal d'arrondissement pouvait sans arbitraire retenir que le recourant savait - même s'il n'en connaissait pas tous les détails - quelle était sa situation financière lorsqu'il a passé la convention de novembre 2005, situation qui était au demeurant, de son propre aveu, mauvaise depuis 2001 déjà, et, partant, considérer qu'il n'avait pas établi un changement essentiel et durable des circonstances qui aurait justifié une modification de la quotité des aliments précédemment convenus. On ne saurait par ailleurs reprocher à l'autorité cantonale d'avoir ignoré le contexte dans lequel a été passé la convention de novembre 2005. Il ne ressort pas des faits - sans qu'aucun grief ne soit soulevé à cet égard (cf. supra, consid. 1.3) - que ce contexte aurait été particulier. Quant à l'argument tiré du peu de temps que le recourant avait à sa disposition pour réfléchir et du fait qu'il pensait s'engager pour peu de temps, il suffit de mentionner qu'il était assisté d'un avocat et qu'à aucun moment, il n'a prétendu que ces éléments avaient faussé sa capacité de raisonnement au point de lui faire admettre le versement d'une contribution excédant ses capacités financières. Vu ce qui précède, la critique du recourant doit être rejetée dans la mesure de sa recevabilité. Dès lors que la motivation fondée sur l'absence de circonstances fondant le droit à une modification des mesures protectrices de l'union conjugale permet de maintenir l'arrêt entrepris, nul n'est besoin d'examiner le grief portant sur la motivation subsidiaire ( ATF 133 III 221 consid. 7 p. 228; 132 I 13 consid. 6 p. 20).</w:t>
      </w:r>
    </w:p>
    <w:p>
      <w:r>
        <w:rPr>
          <w:b/>
        </w:rPr>
        <w:t>E. 4</w:t>
      </w:r>
    </w:p>
    <w:p>
      <w:r>
        <w:t>Le recourant, qui succombe, supportera les frais de la procédure ( art. 66 al. 1 LTF ) et versera des dépens à l'intimée qui s'est déterminée sur la requête d'effet suspensif et a eu partiellement gain de cause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