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5A_72/2026 vom 27. Januar 2026</w:t>
      </w:r>
    </w:p>
    <w:p>
      <w:r>
        <w:t>Bundesgericht, 2026-01-27, DE</w:t>
      </w:r>
    </w:p>
    <w:p>
      <w:r>
        <w:rPr>
          <w:b/>
        </w:rPr>
        <w:t xml:space="preserve">Quelle: </w:t>
      </w:r>
      <w:r>
        <w:t>https://mcp.opencaselaw.ch/entscheid/bger_5A_72_2026</w:t>
      </w:r>
    </w:p>
    <w:p>
      <w:r>
        <w:t>FR: TF 5A_72/2026 du 27 janvier 2026</w:t>
      </w:r>
    </w:p>
    <w:p>
      <w:r>
        <w:t>IT: TF 5A_72/2026 del 27 gennaio 2026</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2</w:t>
      </w:r>
    </w:p>
    <w:p>
      <w:r>
        <w:t>Das Obergericht hat erwogen, der Beschwerdeführer gebe in seinem Gesuch an, kein Einkommen zu erzielen, führe aber gleichzeitig die Firma C.________ als Arbeitgeberin auf. Er lege zudem einen Lebenslauf ins Recht, worin festgehalten werde, dass er Gründer und Geschäftsführer der Firma C.________ sei. Zu seinen Einkünften mache er jedoch keinerlei Ausführungen und er lege auch keine aktuellen Belege ins Recht. Es würden einzig Abschlüsse der Jahre 2021, 2022 und 2023 vorliegen, wobei unklar sei, ob diese überhaupt die genannte Firma beträfen. Der Beschwerdeführer habe daher seine Einkommensverhältnisse nicht ausreichend dargetan.</w:t>
      </w:r>
    </w:p>
    <w:p>
      <w:r>
        <w:rPr>
          <w:b/>
        </w:rPr>
        <w:t>E. 3</w:t>
      </w:r>
    </w:p>
    <w:p>
      <w:r>
        <w:t>Die Beschwerde besteht weitgehend aus allgemeiner Polemik und strafrechtlichen Vorwürfen gegenüber dem Obergericht und ferner aus Ausführungen zu seiner Tochter-Beziehung, zu früheren Urteilen und weiteren ausserhalb des möglichen Anfechtungsgegenstandes stehenden Gegenständen; darauf ist von vornherein nicht einzutreten.</w:t>
      </w:r>
    </w:p>
    <w:p>
      <w:r>
        <w:t>Eine sachgerichtete Auseinandersetzung mit den Erwägungen des angefochtenen Entscheides, mit welcher in nachvollziehbarer Weise eine Rechtsverletzung im Kontext der Abweisung des Gesuches um unentgeltliche Rechtspflege für das kantonale Beschwerdeverfahren dargelegt würde, ist nicht auszumachen. Diesbezüglich beschränkt sich der Beschwerdeführer auf die abstrakte Behauptung, er habe Steuererklärungen der Jahre 2021, 2022 und 2023 eingereicht und aus den betreffenden Geschäftsabschlüssen gehe hervor, dass er sich nie einen Lohn ausbezahlt habe. Damit ist weder eine willkürliche Beweiswürdigung noch eine Rechtsverletzung im Zusammenhang mit der Erwägung dargelegt, die aktuellen Einkommensverhältnisse seien (zumal angesichts der widersprüchlichen Angaben) nicht ausreichend belegt.</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