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729/2007 vom 29. Januar 2008</w:t>
      </w:r>
    </w:p>
    <w:p>
      <w:r>
        <w:t>Bundesgericht, 2008-01-29, DE</w:t>
      </w:r>
    </w:p>
    <w:p>
      <w:r>
        <w:rPr>
          <w:b/>
        </w:rPr>
        <w:t xml:space="preserve">Quelle: </w:t>
      </w:r>
      <w:r>
        <w:t>https://mcp.opencaselaw.ch/entscheid/bger_5A_729_2007</w:t>
      </w:r>
    </w:p>
    <w:p>
      <w:r>
        <w:t>FR: TF 5A 729/2007 du 29 janvier 2008</w:t>
      </w:r>
    </w:p>
    <w:p>
      <w:r>
        <w:t>IT: TF 5A 729/2007 del 29 gennaio 2008</w:t>
      </w:r>
    </w:p>
    <w:p>
      <w:pPr>
        <w:pStyle w:val="Heading2"/>
      </w:pPr>
      <w:r>
        <w:t>Regeste</w:t>
      </w:r>
    </w:p>
    <w:p>
      <w:r>
        <w:t>Definitive Rechtsöffnung (Fristwiederherstellung) | Schuldbetreibungs- und Konkursrecht</w:t>
      </w:r>
    </w:p>
    <w:p>
      <w:pPr>
        <w:pStyle w:val="Heading2"/>
      </w:pPr>
      <w:r>
        <w:t>Erwägungen</w:t>
      </w:r>
    </w:p>
    <w:p>
      <w:r>
        <w:rPr>
          <w:b/>
        </w:rPr>
        <w:t>E. 1</w:t>
      </w:r>
    </w:p>
    <w:p>
      <w:r>
        <w:t>Angefochten ist eine Verfügung über die Wiederherstellung der Frist zur Erhebung eines kantonalen Rechtsmittels gegen ein erstinstanzliches Urteil über die Erteilung der definitiven Rechtsöffnung. Entscheide in Schuldbetreibungs- und Konkurssachen gelten als Zivilsache ( Art. 72 Abs. 2 lit. a BGG ) und damit auch der vorliegende, im Zusammenhang mit der Rechtsöffnung ergangene Entscheid. Die angefochtene Verfügung ist überdies letztinstanzlich ( Art. 75 Abs. 1 BGG ). Der strittige Rechtsöffnungsbetrag beläuft sich auf über Fr. 50'000.--, womit auch das Streitwerterfordernis des Art. 74 Abs. 1 lit. b BGG erfüllt ist. Anders als der Entscheid, der eine Frist wiederherstellt (dazu: Urteil U 162/96 vom 17. Juli 1997, E. 1), schliesst die vorliegende, die Fristwiederherstellung verweigernde Verfügung das Verfahren ab. Dem Beschwerdeführer wird damit der Rechtsmittelweg versperrt. Sie gilt somit nicht als Zwischenentscheid, sondern als Endentscheid im Sinn von Art. 90 BGG . Damit ist die Beschwerde in Zivilsachen gegeben.</w:t>
      </w:r>
    </w:p>
    <w:p>
      <w:r>
        <w:rPr>
          <w:b/>
        </w:rPr>
        <w:t>E. 2.1</w:t>
      </w:r>
    </w:p>
    <w:p>
      <w:r>
        <w:t>In der angefochtenen Verfügung wird definitiv über die Wiederherstellung der Rechtsmittelfrist entschieden. Sie stellt damit keine vorsorgliche Massnahme im Sinn von Art. 98 BGG dar, welche ausschliesslich die Rüge der Verletzung verfassungsmässiger Rechte zulässt. Mit der Beschwerde in Zivilsachen kann somit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Rechtsverletzung im Sinne von Art. 95 BGG beruhen und wenn die Behebung des Mangels für den Ausgang des Verfahrens entscheidend sein kann.</w:t>
      </w:r>
    </w:p>
    <w:p>
      <w:r>
        <w:rPr>
          <w:b/>
        </w:rPr>
        <w:t>E. 2.2</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zur Totalrevision der Bundesrechtspflege vom 28. Februar 2001, Ziff. 4.1.2.4, BBl. 2001,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w:t>
      </w:r>
    </w:p>
    <w:p>
      <w:r>
        <w:rPr>
          <w:b/>
        </w:rPr>
        <w:t>E. 2.3</w:t>
      </w:r>
    </w:p>
    <w:p>
      <w:r>
        <w:t>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BV ). Wird ein Novum vorgetragen, ist in der Beschwerde darzutun, inwiefern die erwähnte Voraussetzung erfüllt ist ( BGE 133 III 393 E. 3).</w:t>
      </w:r>
    </w:p>
    <w:p>
      <w:r>
        <w:rPr>
          <w:b/>
        </w:rPr>
        <w:t>E. 2.4</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3.1</w:t>
      </w:r>
    </w:p>
    <w:p>
      <w:r>
        <w:t>Der Beschwerdeführer hatte vor der kantonalen Instanz sein Fristwiederherstellungsgesuch damit begründet, die Abholungseinladung der Post sei nie bei ihm angelangt, obwohl er nicht abwesend gewesen sei. Er habe auch kein Interesse gehabt, dieses Dokument zu unterschlagen. Zudem bestehe nach den Angaben des Poststellenleiters die Möglichkeit eines Restrisikos, dass er die Zustellungsinformation nicht erhalten habe. Gegen diese Darstellung spricht nach Ansicht des Obergerichts, dass die Sendung gemäss den Zustellungsinformationen der Post dem Beschwerdeführer am 5. Juli 2007 avisiert wurde, also bei ihm angelangt ist. Dies bestätige - so das Obergericht - auch der Poststellenleiter in seiner Mail an den Beschwerdeführer vom 20. August 2007, werde doch darin ausgeführt, laut Unterlagen der Post sei für den Beschwerdeführer am 5. Juli 2007 eine GU (Gerichtsurkunde) aus Baden avisiert worden. Von einem Restrisiko, dass der Beschwerdeführer die Abholungseinladung nicht erhalten haben könnte, sei darin nicht die Rede. Der Poststellenleiter führe vielmehr aus, ob ein Avis für die Gerichtsurkunde ausgestellt worden sei, lasse sich schwer ermitteln. Die Tatsache aber, dass vom zeitlichen Ablauf her alles korrekt abgelaufen sei, lasse auf eine normale Ankündigung der Sendung schliessen. Davon sei - so das Obergericht - auszugehen, habe doch der Beschwerdeführer seinen Angaben zufolge gerichtliche Sendungen bisher immer korrekt erhalten; es sei nicht zu sehen, weshalb es sich im konkreten Fall anders verhalten haben sollte, und der Beschwerdeführer erläutere dies auch nicht näher. Zwar bestehe die theoretische Möglichkeit, dass die Abholungseinladung an einem falschen Ort eingeworfen worden sei, doch sei dies höchst unwahrscheinlich, da angenommen werden dürfe, dass der falsche Adressat in einem solchen Fall die Abholungseinladung entweder an den Beschwerdeführer weitergeleitet oder sie der Post übergeben hätte.</w:t>
      </w:r>
    </w:p>
    <w:p>
      <w:r>
        <w:rPr>
          <w:b/>
        </w:rPr>
        <w:t>E. 3.2</w:t>
      </w:r>
    </w:p>
    <w:p>
      <w:r>
        <w:t>Vor Bundesgericht macht der Beschwerdeführer im Wesentlichen geltend, auch der Poststellenleiter schliesse ein Restrisiko nicht aus. Bestehe aber ein solches, sei es tatsächlich möglich, dass ein Avis ohne Verschulden des Betroffenen nicht an ihn gelange. Treffe dies zu, dürfe dieser Umstand nicht zum Nachteil des Betroffenen gereichen, zumal das Gerichtspräsidium als Absender der Gerichtsurkunde nach der allgemeinen Beweisregel von Art. 8 ZGB die Beweislast für die ordnungsgemässe Zustellung und damit auch die Folgen einer allfälligen Beweislosigkeit trage. Das habe das Obergericht verkannt und damit die in Art. 8 ZGB enthaltene Grundregel verletzt.</w:t>
      </w:r>
    </w:p>
    <w:p>
      <w:r>
        <w:rPr>
          <w:b/>
        </w:rPr>
        <w:t>E. 4.1</w:t>
      </w:r>
    </w:p>
    <w:p>
      <w:r>
        <w:t>Artikel 8 ZGB regelt für das Bundeszivilrecht einerseits die Beweislastverteilung und gibt anderseits der beweispflichtigen Partei einen Anspruch darauf, für rechtserhebliche Vorbringen zum Beweis zugelassen zu werden ( BGE 130 III 591 E. 5.4 mit Hinweisen). Artikel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114 II 289 E. 2a S. 291).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(vgl. zum Ganzen BGE 114 II 289 E. 2a mit zahlreichen Hinweisen; 130 III 591 E. 5.4 mit Hinweisen). Das Obergericht ist gestützt auf die Zustellungsinformationen der Post und die Mail des Poststellenleiters vom 20. August 2007 zur Überzeugung gelangt, dass dem Beschwerdeführer die GU aus Baden, d.h. der umstrittene Rechtsöffnungsentscheid, am 5. Juli 2007 avisiert worden ist. Damit hat das Obergericht aufgrund der abgenommenen Beweise die gegenteilige Behauptung des Beschwerdeführers als widerlegt erachtet. Bei diesem Beweisergebnis wird die Beweislastverteilung gegenstandslos. Die Ausführungen des Beschwerdeführers beschlagen denn auch die obergerichtliche Beweiswürdigung, welche - wie gesagt - durch Art. 8 ZGB nicht geregelt wird. Eine Verletzung von Art. 8 ZGB ist nicht ersichtlich.</w:t>
      </w:r>
    </w:p>
    <w:p>
      <w:r>
        <w:rPr>
          <w:b/>
        </w:rPr>
        <w:t>E. 4.2</w:t>
      </w:r>
    </w:p>
    <w:p>
      <w:r>
        <w:t>Ebenso wenig ist der Beschwerde Erfolg beschieden, soweit der Beschwerdeführer dem Obergericht überhaupt den Begründungsanforderungen entsprechend willkürliche Beweiswürdigung vorwirft: Aufgrund der Postinformation, die den Prozess der Zustellung der Abholungseinladung bis ins Detail beschreibt, aber auch der Mitteilung des Poststellenleiters, wonach für den Beschwerdeführer am 5. Juli 2007 eine GU (Gerichtsurkunde) aus Baden avisiert worden sei, durfte das Obergericht ohne Willkür auf eine Zustellung der Abholungseinladung an den Beschwerdeführer schliessen. Aus dem handschriftlichen Fristvermerk auf dem Umschlag der fraglichen Sendung ("Fr. 12.7.") erhellt, dass der mit der Übermittlung beauftragte Postbote eine Abholungseinladung mit gleichlautender Frist ausgefüllt hat. Zwar ist es theoretisch möglich, dass die Abholungseinladung nicht in den Briefkasten des Beschwerdeführers, sondern versehentlich in denjenigen einer unbeteiligten Drittperson gelangt ist. Indem die Vorinstanz aber dieser rein theoretischen Möglichkeit kein Gewicht beigemessen hat, ist sie nicht in Willkür verfallen, da in einem solchen Fall ohne Willkür angenommen werden darf, dass der unbeteiligte Dritte die nicht für ihn bestimmte Sendung der Post übergeben oder sie dem Beschwerdeführer direkt überbracht hätte. Damit erübrigen sich Mutmassungen darüber, weshalb der Beschwerdeführer auf die Sendung nicht reagiert hat.</w:t>
      </w:r>
    </w:p>
    <w:p>
      <w:r>
        <w:rPr>
          <w:b/>
        </w:rPr>
        <w:t>E. 5</w:t>
      </w:r>
    </w:p>
    <w:p>
      <w:r>
        <w:t>Die Beschwerde ist abzuweisen, soweit darauf eingetreten werden kann. Bei diesem Verfahrensausgang wird der Beschwerdeführer kostenpflichtig ( Art. 66 Abs. 1 BGG ). Eine Entschädigung ist nicht geschuldet, da bei der Beschwerdegegnerin keine Vernehmlassung eingeholt worden ist.</w:t>
      </w:r>
    </w:p>
    <w:p>
      <w:r>
        <w:rPr>
          <w:b/>
        </w:rPr>
        <w:t>E. 6</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