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5A_727/2024 vom 5. Dezember 2024</w:t>
      </w:r>
    </w:p>
    <w:p>
      <w:r>
        <w:t>Bundesgericht, 2024-12-05, FR</w:t>
      </w:r>
    </w:p>
    <w:p>
      <w:r>
        <w:rPr>
          <w:b/>
        </w:rPr>
        <w:t xml:space="preserve">Quelle: </w:t>
      </w:r>
      <w:r>
        <w:t>https://mcp.opencaselaw.ch/entscheid/bger_5A_727_2024</w:t>
      </w:r>
    </w:p>
    <w:p>
      <w:r>
        <w:t>FR: TF 5A_727/2024 du 5 décembre 2024</w:t>
      </w:r>
    </w:p>
    <w:p>
      <w:r>
        <w:t>IT: TF 5A_727/2024 del 5 dicembre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jugement du 12 septembre 2024, le Tribunal de première instance du canton de Genève a rejeté la requête de faillite personnelle formée par A.________. Par arrêt du 24 septembre 2024, la Chambre civile de la Cour de justice du canton de Genève a déclaré irrecevable le recours du prénommé.</w:t>
      </w:r>
    </w:p>
    <w:p>
      <w:r>
        <w:rPr>
          <w:b/>
        </w:rPr>
        <w:t>E. 2</w:t>
      </w:r>
    </w:p>
    <w:p>
      <w:r>
        <w:t>Par écriture expédiée le 24 octobre 2024, A.________ déclare faire " opposition totale " aux décisions précitées; il demande au Tribunal fédéral " de bien vouloir examiner attentivement [son] dossier ". Des observations n'ont pas été requises.</w:t>
      </w:r>
    </w:p>
    <w:p>
      <w:r>
        <w:rPr>
          <w:b/>
        </w:rPr>
        <w:t>E. 3</w:t>
      </w:r>
    </w:p>
    <w:p>
      <w:r>
        <w:t>L'écriture du recourant est traitée en tant que recours en matière civile au sens de l' art. 72 al. 2 let. a LTF . Il est superflu de discuter les autres conditions de recevabilité, le procédé étant voué à l'échec.</w:t>
      </w:r>
    </w:p>
    <w:p>
      <w:r>
        <w:rPr>
          <w:b/>
        </w:rPr>
        <w:t>E. 4.1</w:t>
      </w:r>
    </w:p>
    <w:p>
      <w:r>
        <w:t>En l'espèce, l'autorité précédente a retenu que le recourant n'avait soulevé aucun grief contre le jugement attaqué, ni pris de conclusions; partant, elle a considéré que la motivation du recours était insuffisante au regard des exigences l' art. 321 al. 1 CPC , même en faisant preuve de bienveillance envers un plaideur en personne dans une procédure sommaire, d'où l'irrecevabilité du recours.</w:t>
      </w:r>
    </w:p>
    <w:p>
      <w:r>
        <w:rPr>
          <w:b/>
        </w:rPr>
        <w:t>E. 4.2</w:t>
      </w:r>
    </w:p>
    <w:p>
      <w:r>
        <w:t>Le recours est irrecevable d'emblée en tant qu'il est dirigé contre le jugement de première instance, seul l'arrêt de la Cour de justice étant sujet à recours ( art. 75 al. 1 LTF ).</w:t>
      </w:r>
    </w:p>
    <w:p>
      <w:r>
        <w:rPr>
          <w:b/>
        </w:rPr>
        <w:t>E. 4.3</w:t>
      </w:r>
    </w:p>
    <w:p>
      <w:r>
        <w:t>Selon la jurisprudence, la motivation du recours doit être topique, à savoir se rapporter à la question juridique tranchée par la juridiction précédente ( ATF 144 II 184 consid. 1.1). Or, le recourant ne soulève pas la moindre critique à l'encontre du motif d'irrecevabilité pris de la motivation déficiente de son écriture; en particulier, il ne prétend pas que la cour cantonale aurait violé l' art. 321 al. 1 CPC ( art. 42 al. 2 LTF ; ATF 140 III 86 consid. 2) ou appliqué cette disposition d'une manière excessivement formaliste ( art. 106 al. 2 LTF ), mais se limite à invoquer la précarité de sa situation financière ( cf . sur cet élément, en soi dénué de pertinence aux fins de l'application de l' art. 191 LP : ATF 145 III 26 consid. 2.2 et les références). Il s'ensuit que le recours est entièrement irrecevable ( ATF 142 III 364 consid. 2.4 et les arrêts cités).</w:t>
      </w:r>
    </w:p>
    <w:p>
      <w:r>
        <w:rPr>
          <w:b/>
        </w:rPr>
        <w:t>E. 5</w:t>
      </w:r>
    </w:p>
    <w:p>
      <w:r>
        <w:t>Vu ce qui précède, le présent recours doit être déclaré irrecevable par voie de procédure simplifiée ( art. 108 al. 1 let. b LTF ), aux frais de son auteur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