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727/2020 vom 31. März 2021</w:t>
      </w:r>
    </w:p>
    <w:p>
      <w:r>
        <w:t>Bundesgericht, 2021-03-31, FR</w:t>
      </w:r>
    </w:p>
    <w:p>
      <w:r>
        <w:rPr>
          <w:b/>
        </w:rPr>
        <w:t xml:space="preserve">Quelle: </w:t>
      </w:r>
      <w:r>
        <w:t>https://mcp.opencaselaw.ch/entscheid/bger_5A_727_2020</w:t>
      </w:r>
    </w:p>
    <w:p>
      <w:r>
        <w:t>FR: TF 5A 727/2020 du 31 mars 2021</w:t>
      </w:r>
    </w:p>
    <w:p>
      <w:r>
        <w:t>IT: TF 5A 727/2020 del 31 marzo 2021</w:t>
      </w:r>
    </w:p>
    <w:p>
      <w:pPr>
        <w:pStyle w:val="Heading2"/>
      </w:pPr>
      <w:r>
        <w:t>Regeste</w:t>
      </w:r>
    </w:p>
    <w:p>
      <w:r>
        <w:t>partage LPP (divorce) | Droit de la famille</w:t>
      </w:r>
    </w:p>
    <w:p>
      <w:pPr>
        <w:pStyle w:val="Heading2"/>
      </w:pPr>
      <w:r>
        <w:t>Erwägungen</w:t>
      </w:r>
    </w:p>
    <w:p>
      <w:r>
        <w:rPr>
          <w:b/>
        </w:rPr>
        <w:t>E. 1.1</w:t>
      </w:r>
    </w:p>
    <w:p>
      <w:r>
        <w:t>Le recours a été déposé en temps utile ( art. 100 al. 1 LTF ), contre une décision finale ( art. 90 LTF ) rendue sur recours par une autorité supérieure statuant en dernière instance cantonale ( art. 75 al. 1 et 2 LTF ), dans une affaire civile ( art. 72 al. 1 LTF ). La valeur litigieuse atteint le seuil de 30'000 fr. ( art. 74 al. 1 let. b LTF ). Le recourant a pris part à la procédure devant l'autorité précédente et a un intérêt digne de protection à la modification ou l'annulation de la décision attaquée ( art. 76 al. 1 let. a et b LTF ).</w:t>
      </w:r>
    </w:p>
    <w:p>
      <w:r>
        <w:rPr>
          <w:b/>
        </w:rPr>
        <w:t>E. 1.2</w:t>
      </w:r>
    </w:p>
    <w:p>
      <w:r>
        <w:t>Le recourant prend principalement des conclusions en constatation de droit. Or, selon un principe général de procédure, de telles conclusions ne sont recevables que lorsque des conclusions condamnatoires ou formatrices sont exclues. Seules des circonstances exceptionnelles conduisent à admettre l'existence d'un intérêt digne de protection à la constatation de droit lorsqu'une action en exécution est ouverte. Sauf situations particulières, les conclusions constatatoires ont donc un caractère subsidiaire (arrêt 5A_821/2019 du 14 juillet 2020 consid. 3.2 et les références). Dans cette mesure, la recevabilité de la conclusion principale du recours apparaît douteuse. Il reste néanmoins à examiner si le recourant formule, implicitement, des conclusions réformatoires telles qu'exigées par l' art. 42 al. 1 LTF . En effet, l'application du principe de la confiance impose d'interpréter les conclusions à la lumière de la motivation (arrêt 5A_866/2015 du 2 mai 2016 consid. 1.2 et les références, non publié aux ATF 142 III 364 ). En l'occurrence, le recourant était intimé à l'appel et l'autorité cantonale a constaté qu'il n'y avait pas de critique quant à la somme de 28'137 fr. due à l'épouse. En conséquence, on comprend que le recourant ne critique que le versement supplémentaire de 32'471 fr. 15 et cherche à obtenir la réforme de l'arrêt attaqué, en ce sens que le montant à verser à titre de partage la prévoyance professionnelle soit limité à 28'135 fr. en faveur de l'épouse. Dans cette mesure, la recevabilité du recours peut donc être admise.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ce qui implique d'invoquer expressément et de motiver de façon claire et détaillée un tel grief ( art. 106 al. 2 LTF ; ATF 146 IV 114 consid. 2.1; 142 II 369 consid. 2.1; 142 III 364 consid. 2.4); les critiques appellatoires sont en conséquence irrecevables ( ATF 145 IV 154 consid. 1.1; 141 IV 249 consid. 1.3.1).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143 IV 500 consid. 1.1; 140 III 264 consid. 2.3). Au vu de ces principes, la partie " A. En fait " figurant aux pages 3 à 7 du recours sera ignorée en tant que les faits qui y sont exposés ne sont pas expressément visés par un grief d'arbitraire, s'écartent de ceux contenus dans l'arrêt attaqué et que le recourant n'invoque, ni a fortiori ne démontre, leur établissement arbitraire ou que leur correction influerait sur le sort de la cause.</w:t>
      </w:r>
    </w:p>
    <w:p>
      <w:r>
        <w:rPr>
          <w:b/>
        </w:rPr>
        <w:t>E. 3</w:t>
      </w:r>
    </w:p>
    <w:p>
      <w:r>
        <w:t>L'autorité cantonale a jugé en substance qu'il n'était pas établi que la vente de la maison au moment du divorce aurait généré une perte. Dès lors, le montant engagé par le recourant pour acquérir le bien immobilier, par 66'635 fr., devait être pris en considération pour déterminer la prestation de sortie à partager. Pour arriver à ce résultat, elle s'est fondée sur les constatations suivantes: Premièrement, il fallait tenir compte du fait que la maison était, au jour du divorce, encore en chantier. Le recourant faisait référence à des travaux effectués après le 18 avril 2014 et l'intimée avait allégué, sans que le recourant le conteste, que celui-ci avait mis en suspens l'exécution de travaux dans le but de faire diminuer la valeur de l'immeuble. Le notaire qui avait rendu une expertise immobilière dans la précédente procédure matrimoniale avait également retenu qu'il restait des travaux à effectuer le 20 octobre 2018. Le dossier ne contenait en outre aucune pièce sur la manière dont les fonds du prêt hypothécaire avaient été affectés au fur et à mesure dans la construction, ni sur la valeur du terrain au moment du divorce. Selon la cour cantonale, il n'était donc pas exclu que les fonds provenant du prêt hypothécaire n'aient été engagés que pour une partie dans les travaux de construction ou aient servi à acheter des fournitures n'ayant pas été prises en compte dans les évaluations. Cela valait même si la dette hypothécaire était à cette époque supérieure à 294'000 euros et que la vente aurait pu être faite pour 230'000 euros. Secondement, les évaluations faites par la société E.________ en 2016 et le notaire en 2018 n'étaient pas fiables pour plusieurs raisons. Ces documents étaient peu détaillés. Celui établi par E.________, outre qu'il n'était pas signé et que, dans tous les cas, ne valait que simple allégué de l'époux contesté par l'épouse, ne renseignait notamment pas sur les coûts de construction de la maison ou le prix du m² habitable dans le quartier résidentiel concerné. Il ne mentionnait pas non plus que les travaux n'étaient pas terminés. Quant à l'évaluation du notaire, on ignorait tout des éléments ayant conduit à son résultat. Par ailleurs, le recourant avait déclaré que la qualité des matériaux n'était pas prise en compte dans l'estimation des biens immobiliers en France, et qu'il avait payé 58'693 fr. pour les fenêtres de la maison. Il était donc invraisemblable que la valeur totale de la maison et du terrain ne dépasse pas 230'000 euros, alors que l'intimée avait allégué qu'environ 400'000 euros avaient été investis dans les travaux de construction, ce que le recourant n'avait pas contesté. Il avait même affirmé que la somme des fonds propres et de ceux provenant du crédit hypothécaire était proche, voire supérieure à 400'000 euros. Ainsi, il n'était pas crédible qu'une parcelle de 930 m², sise dans un quartier résidentiel de U.________ et sur laquelle avait été construite en 2010 une maison pour un prix d'environ 400'000 euros, ait perdu plus de la moitié de sa valeur en quatre ans, étant précisé que la valeur du terrain n'était pas comprise dans ce montant.</w:t>
      </w:r>
    </w:p>
    <w:p>
      <w:r>
        <w:rPr>
          <w:b/>
        </w:rPr>
        <w:t>E. 4</w:t>
      </w:r>
    </w:p>
    <w:p>
      <w:r>
        <w:t>Le recourant se plaint d'arbitraire ( art. 9 Cst. ) dans l'établissement des faits.</w:t>
      </w:r>
    </w:p>
    <w:p>
      <w:r>
        <w:rPr>
          <w:b/>
        </w:rPr>
        <w:t>E. 4.1</w:t>
      </w:r>
    </w:p>
    <w:p>
      <w:r>
        <w:t>Concernant la première série de faits retenus par l'autorité cantonale, le recourant oppose, entre autres, que la maison familiale ne pouvait pas être en chantier en avril 2014 puisqu'il y vivait à ce moment-là. Sur le montant total de 303'485 euros dont il disposait en 2010, il avait acheté la parcelle à 71'533 euros, investi 53'485,87 euros dans les fenêtres et les stores de la maison. Il avait investi le solde de 178'466,13 euros dans la maison puisqu'il y vivait et qu'il avait dû produire auprès de la F.________ les factures acquittées pour recevoir les fonds, ce qui ressortait de la page 4 du contrat de prêt hypothécaire produit en pièce 20 de son courrier du 19 février 2018. Concernant la seconde série de faits, soit l'appréciation des documents produits à titre d'expertises, le recourant soutient, entre autres, qu'il est erroné de prétendre que l'évaluation de la maison par E.________ ne renseigne pas sur la manière d'estimer le prix du m², alors qu'il y est mentionné une estimation au moyen de la " méthode comparative ", et qu'elle ne prendrait pas en compte la qualité des matériaux, alors qu'il y est mentionné, au chiffre 3 du bilan, la " bonne construction, bon matériau ". Il estime aussi que l'autorité cantonale fait preuve de formalisme excessif en retenant que ce document aurait une force probante amoindrie en raison du défaut de signature. S'agissant de l'expertise du notaire, le recourant soutient que si celle-ci est suffisante au regard du droit français pour liquider le régime matrimonial, rien ne justifie que l'autorité cantonale remette en cause sa validité parce qu'elle ne répond pas aux critères du droit suisse en matière d'expertise. Cette autorité ne pouvait en outre pas substituer sa propre analyse à celle du notaire alors qu'elle ne disposait pas des connaissances spécifiques au marché immobilier à U.________.</w:t>
      </w:r>
    </w:p>
    <w:p>
      <w:r>
        <w:rPr>
          <w:b/>
        </w:rPr>
        <w:t>E. 4.2</w:t>
      </w:r>
    </w:p>
    <w:p>
      <w:r>
        <w:t>En l'espèce, le recourant ne démontre pas l'arbitraire en fait de la décision attaquée: le caractère habitable de la maison n'était pas décisif pour déterminer si la vente entraînerait une perte, mais bien la question de savoir si cette maison était ou non encore en travaux; or, le recourant admet lui-même que tel était le cas. De la pièce 20 sur laquelle il se fonde, il ne ressort pas si et comment les fonds du crédit hypothécaire ont été utilisés. Dans tous les cas, il ne résulte pas du courrier avec lequel cette pièce a été produite que le recourant aurait allégué, en offrant ce document à titre de preuve, le fait que les fonds n'étaient acquittés que sur production des factures. Ensuite, pour ce qui est de la valeur probante de l'évaluation privée de l'immeuble, le recourant ne s'en prend de toute façon pas à l'opinion de la cour cantonale selon laquelle celle-ci ne vaut pas expertise mais simple allégué de partie, contestée par la partie adverse (cf. ATF 141 III 433 consid. 2.6). Au demeurant, le recourant a déclaré lui-même en audience que la qualité des matériaux n'était pas prise en compte dans l'estimation (arrêt attaqué p. 5 in fine ). Quoi qu'il en soit, il n'est pas arbitraire de soutenir que cette qualité n'a pas été prise en compte lorsque figurent simplement, au " bilan " de l'analyse, les termes " bons matériaux " dans les points positifs, sans autre précision. Par ailleurs, il n'est pas non plus arbitraire d'affirmer que l'évaluation ne renseigne pas sur le prix du terrain. En effet, la " méthode comparative " dont se prévaut le recourant, ne fait aucune distinction entre terrain et bâtiment; elle ne dit en outre rien sur les données qui lui ont permis de fixer le prix. Concernant l'expertise du notaire, l'argument selon lequel si une expertise est retenue à titre de preuve par une juridiction étrangère, elle doit forcément l'être par tout autre juge saisi, est appellatoire. En dernier lieu, il sied de relever que l'autorité cantonale n'a pas, contrairement à ce que soutient le recourant, substitué sa propre analyse à celle de l'expert; elle a apprécié les preuves pour retenir que la perte générée par la vente de la maison n'était pas démontrée. Le recourant ne démontre pas l'arbitraire de la décision attaquée sur ces points essentiels. Partant, son grief d'arbitraire ( art. 9 Cst. ) dans l'établissement des faits doit être rejeté, dans la mesure de sa recevabilité, sans qu'il soit nécessaire d'examiner les autres éléments de son argumentation.</w:t>
      </w:r>
    </w:p>
    <w:p>
      <w:r>
        <w:rPr>
          <w:b/>
        </w:rPr>
        <w:t>E. 5</w:t>
      </w:r>
    </w:p>
    <w:p>
      <w:r>
        <w:t>Le recourant se plaint ensuite de la violation du droit à la preuve ( art. 8 CC , en lien avec l' art. 277 al. 3 CPC ).</w:t>
      </w:r>
    </w:p>
    <w:p>
      <w:r>
        <w:rPr>
          <w:b/>
        </w:rPr>
        <w:t>E. 5.1</w:t>
      </w:r>
    </w:p>
    <w:p>
      <w:r>
        <w:t>Se fondant sur l' art. 277 al. 3 CPC et l'arrêt 4A_535/2018 du 3 juin 2019, il soutient que, même à supposer que l'autorité cantonale ait à juste titre écarté son évaluation privée et l'expertise du notaire, cette autorité ne pouvait pas lui faire supporter l'échec de la preuve; elle aurait dû au contraire compléter l'instruction en requérant un complément d'expertise ou en ordonnant une seconde expertise. En ne le faisant pas, l'autorité cantonale l'a, selon lui, empêché de prouver les faits allégués devant le premier juge et que celui-ci a pourtant considéré comme prouvés. Il souligne qu'il ne peut lui être reproché de ne pas avoir sollicité ce complément ou cette seconde expertise, étant donné que les parties s'étaient mises d'accord avec le fait de se baser sur l'expertise du notaire et que le premier juge a refusé la demande de contre-expertise requise par l'intimée.</w:t>
      </w:r>
    </w:p>
    <w:p>
      <w:r>
        <w:rPr>
          <w:b/>
        </w:rPr>
        <w:t>E. 5.2</w:t>
      </w:r>
    </w:p>
    <w:p>
      <w:r>
        <w:t>Indépendamment de la maxime applicable à la procédure pendante devant lui quant à l'établissement des faits,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Le juge est même tenu de recueillir des preuves complémentaires lorsque les conclusions de l'expertise judiciaire se révèlent douteuses sur des points essentiels ( ATF 141 IV 369 consid. 6.1; 138 III 193 consid. 4.3.1).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(arrêt 4A_535/2018 du 3 juin 2019 consid. 5.2.1).</w:t>
      </w:r>
    </w:p>
    <w:p>
      <w:r>
        <w:rPr>
          <w:b/>
        </w:rPr>
        <w:t>E. 5.3</w:t>
      </w:r>
    </w:p>
    <w:p>
      <w:r>
        <w:t>En l'espèce, l'argument du recourant, relatif au devoir du juge qui considère une expertise comme inutilisable de requérir un complément de celle-ci ou une seconde expertise, n'est pas déterminant. En effet, indépendamment de cet argument, il demeure que, à la suite de l'offre de preuve requise par l'intimée, l'expertise judiciaire portait sur l'évaluation de la maison, et non sur la question de savoir si et comment le recourant avait affecté les fonds du prêt hypothécaire. Or, si l'autorité cantonale a fait supporter l'échec du fardeau de la preuve de la vente déficitaire de la maison, c'est précisément en raison du défaut de preuve sur l'utilisation du prêt hypothécaire. En effet, comme dit précédemment (cf. supra consid. 4.2), les juges cantonaux ont retenu, sans que le recourant démontre l'arbitraire de cette constatation, qu'il n'était pas exclu qu'une partie du prêt ait servi à acheter des fournitures n'ayant pas été prises en compte dans les évaluations. Cette constatation suffit à sceller le sort du litige. Il suit de là que le grief doit être rejeté.</w:t>
      </w:r>
    </w:p>
    <w:p>
      <w:r>
        <w:rPr>
          <w:b/>
        </w:rPr>
        <w:t>E. 6</w:t>
      </w:r>
    </w:p>
    <w:p>
      <w:r>
        <w:t>En définitive, le recours est rejeté, dans la mesure où il est recevable. Les frais judiciaires, arrêtés à 3'500 fr., sont mis à la charge du recourant qui succombe ( art. 66 al. 1 LTF ). Aucuns dépens ne sont dus, l'intimée n'ayant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