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5A_725/2019 vom 18. Dezember 2019</w:t>
      </w:r>
    </w:p>
    <w:p>
      <w:r>
        <w:t>Bundesgericht, 2019-12-18, DE</w:t>
      </w:r>
    </w:p>
    <w:p>
      <w:r>
        <w:rPr>
          <w:b/>
        </w:rPr>
        <w:t xml:space="preserve">Quelle: </w:t>
      </w:r>
      <w:r>
        <w:t>https://mcp.opencaselaw.ch/entscheid/bger_5A_725_2019</w:t>
      </w:r>
    </w:p>
    <w:p>
      <w:r>
        <w:t>FR: TF 5A_725/2019 du 18 décembre 2019</w:t>
      </w:r>
    </w:p>
    <w:p>
      <w:r>
        <w:t>IT: TF 5A_725/2019 del 18 dicembre 2019</w:t>
      </w:r>
    </w:p>
    <w:p>
      <w:pPr>
        <w:pStyle w:val="Heading2"/>
      </w:pPr>
      <w:r>
        <w:t>Erwägungen</w:t>
      </w:r>
    </w:p>
    <w:p>
      <w:r>
        <w:rPr>
          <w:b/>
        </w:rPr>
        <w:t>E. 1.1</w:t>
      </w:r>
    </w:p>
    <w:p>
      <w:r>
        <w:t>Der Entscheid des Obergerichts, das sich als obere kantonale Aufsichtsbehörde mit der Gültigkeit eines Zahlungsbefehls befasst hat, ist der Beschwerde in Zivilsachen zugänglich ( Art. 19 SchKG i.V.m. Art. 72 Abs. 2 lit. a, Art. 74 Abs. 2 lit. c und 75 Abs. 2 BGG).</w:t>
      </w:r>
    </w:p>
    <w:p>
      <w:r>
        <w:rPr>
          <w:b/>
        </w:rPr>
        <w:t>E. 1.2</w:t>
      </w:r>
    </w:p>
    <w:p>
      <w:r>
        <w:t>Der im kantonale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Damit werden die vom Beschwerdeführer eingereichten Aufsichtsbeschwerden und weitere Schreiben nur berücksichtigt, soweit sie mit einer konkreten Rüge verbunden sind.</w:t>
      </w:r>
    </w:p>
    <w:p>
      <w:r>
        <w:rPr>
          <w:b/>
        </w:rPr>
        <w:t>E. 2</w:t>
      </w:r>
    </w:p>
    <w:p>
      <w:r>
        <w:t>Angefochten ist mit dem vorinstanzlichen Urteil in der Sache auch der Beschluss (als nicht selbständig eröffneter Prozessentscheid).</w:t>
      </w:r>
    </w:p>
    <w:p>
      <w:r>
        <w:rPr>
          <w:b/>
        </w:rPr>
        <w:t>E. 2.1</w:t>
      </w:r>
    </w:p>
    <w:p>
      <w:r>
        <w:t>Der Beschluss bezieht sich auf die zeitweilige Sistierung des Beschwerdeverfahrens. Die Vorinstanz hatte mit Verfügung vom 17. April 2019 einer Sistierung bis am 31. Juli 2019 zugestimmt. Mit unaufgeforderter Stellungnahme vom 29. Juli 2019 äusserte sich der Beschwerdeführer zur Frage einer weiteren Sistierung. Er beantragte der Vorinstanz eine Weiterführung bzw. eine erneute Sistierung des Verfahrens. Zur Begründung verwies er auf eine Reihe mutmasslicher Verfehlungen der Beschwerdegegner in Parallelverfahren, namentlich die Verletzung des Amtsgeheimnisses, Interessenkollision und die Verletzung des Vergaberechts. Bis über eine Sistierung dieser Verfahren entschieden sei, müsse auch das vorliegende Verfahren sistiert bleiben. Die Vorinstanz lehnte mit dem nunmehr angefochtenen Beschluss die weitere bzw. erneute Sistierung des Verfahrens ab. Ihrer Ansicht nach war nicht ersichtlich, inwieweit die in anderen Verfahren aufgeworfenen Fragen für das vorliegende Verfahren relevant sein und damit eine Sistierung rechtfertigen könnten. Nach Ansicht der Vorinstanz wurde vom Beschwerdeführer auch nicht dargetan, inwiefern eine Gefahr widersprüchlicher Urteile bestehen könnte und warum ein einheitliches Vorgehen angezeigt sein sollte.</w:t>
      </w:r>
    </w:p>
    <w:p>
      <w:r>
        <w:rPr>
          <w:b/>
        </w:rPr>
        <w:t>E. 2.2</w:t>
      </w:r>
    </w:p>
    <w:p>
      <w:r>
        <w:t>Der Beschwerdeführer wirft der Vorinstanz eine Verletzung des rechtlichen Gehörs vor, da sie sich nicht mit seinen substantiierten Vorbringen zu den mutmasslichen Verfehlungen der Beschwerdegegner auseinandergesetzt und insbesondere den Beschluss nicht hinreichend begründet habe. Stattdessen habe sie bloss ausgeführt, diese Vorbringen bildeten nicht Gegenstand des konkreten Verfahrens. Der Beschwerdeführer beantragt die Aufhebung des vorinstanzlichen Beschlusses.</w:t>
      </w:r>
    </w:p>
    <w:p>
      <w:r>
        <w:rPr>
          <w:b/>
        </w:rPr>
        <w:t>E. 2.3</w:t>
      </w:r>
    </w:p>
    <w:p>
      <w:r>
        <w:t>Der Anspruch auf rechtliches Gehör umfasst einerseits das persönlichkeitsbezogene Mitwirkungsrecht der Parteien am Verfahren, wozu insbesondere das Recht gehört, von der Behörde vor Erlass ihres Entscheides mit den tatsächlichen und rechtlichen Vorbringen angehört zu werden ( BGE 143 V 71 E. 4.1). Alsdann hat die Behörde ihren Entscheid so zu begründen, dass sich die betroffene Partei über dessen Tragweite Rechenschaft geben und ihn in voller Kenntnis der Sache anfechten kann ( BGE 145 III 324 E. 6.1).</w:t>
      </w:r>
    </w:p>
    <w:p>
      <w:r>
        <w:rPr>
          <w:b/>
        </w:rPr>
        <w:t>E. 2.4</w:t>
      </w:r>
    </w:p>
    <w:p>
      <w:r>
        <w:t>Im vorliegenden Fall ging es einzig um die Frage der Sistierung. Die Vorinstanz hat die Vorbringen des Beschwerdeführers zur Kenntnis genommen und gewürdigt. Aus welchen Gründen sie alsdann das Sistierungsgesuch abwies, wird aus ihrem Beschluss ohne Weiteres klar. Davon zu unterscheiden sind die Motive der Begründung, welche indes nicht das rechtliche Gehör, sondern die Anwendung des materiellen Rechts beschlagen. Der Beschwerdeführer legt dem Bundesgericht die mutmasslichen Verfehlungen der Beschwerdegegner (betreffend die Mandatierung einer Anwaltskanzlei) in den Parallelverfahren einlässlich dar. Gleichwohl geht aus seinen Vorbringen nicht hervor, inwiefern sich die Ablehnung der Sistierung des vorliegenden Verfahrens auf den angefochtenen Endentscheid auswirkte ( Art. 93 Abs. 3 BGG ; vgl. Urteil 4A_658/2015 vom 30. März 2015 E. 1.4). Insoweit ist auf die Beschwerde nicht einzutreten.</w:t>
      </w:r>
    </w:p>
    <w:p>
      <w:r>
        <w:rPr>
          <w:b/>
        </w:rPr>
        <w:t>E. 3.1</w:t>
      </w:r>
    </w:p>
    <w:p>
      <w:r>
        <w:t>In der Sache besteht nach Ansicht der Vorinstanz kein Anlass, den Zahlungsbefehl in der Betreibung Nr. yyy des Betreibungsamtes Zürich 7 aufzuheben. Insbesondere sei der Forderungsgrund daraus erkennbar. Zudem sei kein rechtsmissbräuchliches Verhalten der Gläubiger oder ein anderer Nichtigkeitsgrund erkennbar.</w:t>
      </w:r>
    </w:p>
    <w:p>
      <w:r>
        <w:rPr>
          <w:b/>
        </w:rPr>
        <w:t>E. 3.2</w:t>
      </w:r>
    </w:p>
    <w:p>
      <w:r>
        <w:t>Demgegenüber besteht der Beschwerdeführer darauf, dass der Zahlungsbefehl aufgrund der mangelhaften Umschreibung des Forderungsgrundes ungültig sei. Das Vorgehen der Gläubiger erweise sich aufgrund der Mehrfachbetreibungen als rechtsmissbräuchlich.</w:t>
      </w:r>
    </w:p>
    <w:p>
      <w:r>
        <w:rPr>
          <w:b/>
        </w:rPr>
        <w:t>E. 4</w:t>
      </w:r>
    </w:p>
    <w:p>
      <w:r>
        <w:t>Anlass der Beschwerde bildet die Gültigkeit eines Zahlungsbefehls in einer Betreibung, die auf Geldzahlung lautet. Strittig ist insbesondere die Umschreibung des Forderungsgrundes auf dem Zahlungsbefehl und das Vorgehen der Gläubiger bei der Durchsetzung ihrer Forderungen.</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(nebst Betrag und Zins) folgende Angaben:</w:t>
      </w:r>
    </w:p>
    <w:p>
      <w:r>
        <w:t>"1. CHF 43'320'110.05 für rechtskräftig veranlagte Staats- und Gemeindesteuern 2010, 2011, 2012 und 2013, Einschätzungsentscheide, Rechnungen, Rechtsmittelentscheide insbesondere Urteil des Bundesgerichts vom 18. September 2018 betreffend Staats- und Gemeindesteuern Zürich der Steuerperioden 2010, 2011, 2012 und 2013 sowie Sicherstellungsverfügung vom 3. April 2017 Teilprosequierung Arrest xxx des Betreibungsamtes Zürich 7 bezüglich Staats- und Gemeindesteuern 2010-2013 Betrag CHF 39'591'744.80 Zins % 4.5 seit 31.03.2017</w:t>
      </w:r>
    </w:p>
    <w:p>
      <w:r>
        <w:t>2. CHF 3'728'365.25."</w:t>
      </w:r>
    </w:p>
    <w:p>
      <w:r>
        <w:t>Die Vorinstanz erläuterte dem Beschwerdeführer (im Wesentlichen unter Hinweis auf die Erstinstanz), dass es sich im vorliegenden Fall um eine Betreibung auf Zahlung einer Geldsumme handle, was sich bereits aus dem für den Zahlungsbefehl gewählten Formular und der Aufforderung zur Zahlung ergebe. Allein die Erwähnung der Sicherstellungsverfügung neben andern Forderungsgründen bzw. -urkunden ändere nichts am Zweck der Betreibung. Zudem müsse der Zahlungsbefehl nicht aufgrund einzelner Angaben, sondern als Ganzes betrachtet werden. Soweit in diesem Punkt überhaupt eine rechtsgenüglich begründete Beschwerde vorliege, müsse sie abgewiesen werden.</w:t>
      </w:r>
    </w:p>
    <w:p>
      <w:r>
        <w:rPr>
          <w:b/>
        </w:rPr>
        <w:t>E. 4.2.2</w:t>
      </w:r>
    </w:p>
    <w:p>
      <w:r>
        <w:t>Der Beschwerdeführer wirft der Vorinstanz vor, offensichtlich nicht erkannt zu haben, dass das Betreibungsamt einen schwerwiegend fehlerhaften Zahlungsbefehl ausgestellt habe. Der Zahlungsbefehl müsse daher nichtig erklärt oder mindestens aufgehoben werden. Zur Begründung bringt der Beschwerdeführer einzig vor, es sei nicht nachvollziehbar, weshalb eine Sicherstellungsverfügung, welche keinen Anspruch auf Zahlung der Steuerschuld gibt, als Forderungsurkunde aufgeführt werde. Mit diesem Vorbringen geht der Beschwerdeführer nicht auf die vorinstanzliche Begründung ein. Er begnügt sich mit dem Vorwurf, die Vorinstanz korrigiere mit ihrer gesamthaften Betrachtung des Zahlungsbefehls die (vor-) prozessualen Versäumnisse der Gläubiger. Dabei lässt er ausser Acht, dass sich aus dem Zahlungsbefehl bzw. dem verwendeten Formular ergibt, für welche Steuern (Kanton Zürich und Stadt Zürich) und welche Steuerperioden (2010, 2011, 2012 und 2013) er aufgrund von rechtskräftigen Veranlagungen und Einschätzungen betrieben wird. Damit kommt der (zusätzlichen) Erwähnung der Sicherstellungsverfügung als Forderungsurkunde keine eigenständige Bedeutung zu, was die Art der eingeleiteten Betreibung betrifft. Soweit der Beschwerdeführer zudem von einer "vermeintlichen" Betreibung auf Zahlung spricht, kann daraus keine Kritik aus der vorinstanzlichen Begründung, weshalb es im konkreten Fall nicht um eine Betreibung auf Leistung einer Sicherheit, sondern um eine Betreibung auf Zahlung einer Geldsumme geht, herausgelesen werden. Die Vorinstanz hat zutreffend dargelegt, dass es im konkreten Fall um eine ordentliche Betreibung auf Zahlung einer Geldsumme geht.</w:t>
      </w:r>
    </w:p>
    <w:p>
      <w:r>
        <w:rPr>
          <w:b/>
        </w:rPr>
        <w:t>E. 4.3</w:t>
      </w:r>
    </w:p>
    <w:p>
      <w:r>
        <w:t>Der Beschwerdeführer wirft den Beschwerdegegnern schliesslich vor, durch ihre Mehrfachbetreibungen ein rechtsmissbräuchliches Verhalten an den Tag zu legen. Der Zahlungsbefehl in der Betreibung Nr. yyy erweise sich auch aus diesem Grunde als nichtig bzw. sei aufzuheben.</w:t>
      </w:r>
    </w:p>
    <w:p>
      <w:r>
        <w:rPr>
          <w:b/>
        </w:rPr>
        <w:t>E. 4.3.1</w:t>
      </w:r>
    </w:p>
    <w:p>
      <w:r>
        <w:t>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 BGE 140 III 481 E. 2.3.1; 130 II 270 E. 3.3.2; 115 III 18 E. 3b, 113 III 2 E. 2b; Urteil 5A_317/2015 vom 13. Oktober 2015 E. 2.1).</w:t>
      </w:r>
    </w:p>
    <w:p>
      <w:r>
        <w:rPr>
          <w:b/>
        </w:rPr>
        <w:t>E. 4.3.2</w:t>
      </w:r>
    </w:p>
    <w:p>
      <w:r>
        <w:t>Die Vorinstanz hat - wie schon die Erstinstanz - dem Beschwerdeführer erörtert, dass es sich beim Betreibungsort um eine gesetzliche Vorschrift handelt, die zwingendes Recht darstellt. Jedes Betreibungsamt habe von Amtes wegen seine örtliche Zuständigkeit zu prüfen. Der Gläubiger habe nur dann ein Wahlrecht, sofern gleichzeitig die Voraussetzungen verschiedener Betreibungsorte erfüllt seien. Zur Frage der schonenden Rechtsausübung hielt die Vorinstanz fest, dass eine vorgängige Mahnung angesichts des jahrelangen Streites mit den Gläubigern um rund Fr. 43'000'000.-- sinnlos gewesen wäre. Zudem seien die Gläubiger unter Fristendruck gestanden, weshalb ein Fall von gewisser Dringlichkeit vorgelegen habe. In seiner Begründung wiederhole der Beschwerdeführer lediglich das bisher Vorgetragene, ohne Bezug auf den erstinstanzlichen Entscheid zu nehmen. Insoweit sei auf die Beschwerde nicht einzutreten. Selbst wenn dies der Fall wäre, könnte - so die Vorinstanz - der Beschwerde in der Sache kein Erfolg beschieden sein. Wie schon die Erstinstanz festgestellt habe, sei kein rechtsmissbräuchliches Verhalten seitens der Beschwerdegegner erkennbar. Im konkreten Fall gehe es ihnen einzig um die Eintreibung einer Forderung. Dass sie mit der Betreibung noch andere und sachfremde Ziele verfolgen würden, sei nicht erkennbar. Zwar führe die Mehrfachbetreibung (an verschiedenen Arrestorten) zwangsläufig zu einem Mehraufwand sowohl für die Gläubiger wie für den Schuldner. Dass dieser Umstand eine gewisse Zermürbung auf Seiten des Beschwerdeführers zur Folge habe, könne nicht in Abrede gestellt werden, stelle indes die logische Nebenfolge dar, dass die Beschwerdegegner von ihren gesetzlichen Möglichkeiten Gebrauch machen, Betreibungen an mehreren Orten zu erheben, um die Durchsetzung ihrer Forderung zu erreichen. Dass eine vorgängige Mahnung mit Blick auf eine schonende Rechtsausübung angebracht gewesen wäre, könne aufgrund des Fristendrucks nicht gesagt werden. Damit sei der Nichtigkeitsgrund des rechtsmissbräuchlichen Verhaltens der Beschwerdegegner zu verneinen.</w:t>
      </w:r>
    </w:p>
    <w:p>
      <w:r>
        <w:rPr>
          <w:b/>
        </w:rPr>
        <w:t>E. 4.3.3</w:t>
      </w:r>
    </w:p>
    <w:p>
      <w:r>
        <w:t>Konkret rügt der Beschwerdeführer das Verhalten der Beschwerdegegner als rechtsmissbräuchlich, da sie an sechs Betreibungsorten für behauptete Ansprüche von Fr. 162'000'000.-- aus drei Komplexen von Forderungsurkunden fehlerhafte Zahlungsbefehle in der Höhe von insgesamt Fr. 1'138'200'000.-- hätten ausstellen lassen. Dadurch werde er ohne sachlichen Grund gezwungen bei verschiedenen Aufsichtsbehörden gegen die Mehrfachbetreibungen für dieselben Forderungen Beschwerden wegen vergleichbar mangelhafter Zahlungsbefehle einzureichen. Dies führe zu einer Zersplitterung des Verfahrens, welches lediglich seiner Zermürbung diene. Damit erweise sich das Verhalten der Beschwerdegegner als rechtsmissbräuchlich.</w:t>
      </w:r>
    </w:p>
    <w:p>
      <w:r>
        <w:rPr>
          <w:b/>
        </w:rPr>
        <w:t>E. 4.3.4</w:t>
      </w:r>
    </w:p>
    <w:p>
      <w:r>
        <w:t>Mit diesen Vorbringen verkennt der Beschwerdeführer, dass die Beschwerdegegner sich als Gemeinwesen um die Einbringung von Steuerschulden bemühen müssen. Ob diese tatsächlich bestehen, ist freilich nicht eine Frage der Gültigkeit des Zahlungsbefehls. Dass die Beschwerdegegner mit den Betreibungen andere Ziele als das Inkasso ihrer Forderungen verfolgen, ist nicht ersichtlich. Mit der blossen Behauptung, die Vielzahl von Betreibungen führe zu einer Zersplitterung des Verfahrens, womit er zermürbt werden solle, verkennt der Beschwerdeführer offensichtlich, dass es nicht um ein einziges Verfahren geht. Zur Sicherung der verschiedenen Steuerforderungen der beiden Beschwerdegegner und der Schweizerischen Eidgenossenschaft wurden eine Reihe von Vermögenswerten am Orte, wo sie sich befinden, mit Arrest belegt ( Art. 272 Abs. 1 SchKG ). Zu deren Aufrechterhaltung hat eine Betreibung am gesetzlichen Betreibungsort zu erfolgen ( Art. 279 Abs. 1 SchKG ). Dies führt zweifellos zu einer Vielzahl von Verfahren und der damit verbundene Aufwand mag für alle Beteiligten mühsam und aufwändig sein. Inwiefern dies aufgrund des Forderungsumfangs und der notwendigen Vorkehren zur Aufrechterhaltung des jeweiligen Arrestes an den verschiedenen Orten</w:t>
      </w:r>
    </w:p>
    <w:p>
      <w:r>
        <w:t>de lege lata nicht unvermeidbar sei, behauptet der Beschwerdeführer selber nicht und hat er auch im vorinstanzlichen Verfahren nicht in Frage gestellt. Von einer offenbar rechtsmissbräuchlichen Betreibung der Beschwerdegegner kann jedenfalls keine Rede sein.</w:t>
      </w:r>
    </w:p>
    <w:p>
      <w:r>
        <w:rPr>
          <w:b/>
        </w:rPr>
        <w:t>E. 5</w:t>
      </w:r>
    </w:p>
    <w:p>
      <w:r>
        <w:t>Nach dem Gesagten ist der Beschwerde insgesamt kein Erfolg beschieden, soweit darauf überhaupt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