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724/2019 vom 12. November 2020</w:t>
      </w:r>
    </w:p>
    <w:p>
      <w:r>
        <w:t>Bundesgericht, 2020-11-12, DE</w:t>
      </w:r>
    </w:p>
    <w:p>
      <w:r>
        <w:rPr>
          <w:b/>
        </w:rPr>
        <w:t xml:space="preserve">Quelle: </w:t>
      </w:r>
      <w:r>
        <w:t>https://mcp.opencaselaw.ch/entscheid/bger_5A_724_2019</w:t>
      </w:r>
    </w:p>
    <w:p>
      <w:r>
        <w:t>FR: TF 5A 724/2019 du 12 novembre 2020</w:t>
      </w:r>
    </w:p>
    <w:p>
      <w:r>
        <w:t>IT: TF 5A 724/2019 del 12 novembre 2020</w:t>
      </w:r>
    </w:p>
    <w:p>
      <w:pPr>
        <w:pStyle w:val="Heading2"/>
      </w:pPr>
      <w:r>
        <w:t>Regeste</w:t>
      </w:r>
    </w:p>
    <w:p>
      <w:r>
        <w:t>Gültigkeit des Zahlungsbefehls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Der Beschluss bezieht sich auf die einstweilige Sistierung des Verfahrens. Die Vorinstanz stimmte aufgrund laufender Vergleichsgespräche dem Antrag beider Parteien zu und sistierte das Verfahren bis am 31. Juli 2019. Eine weitere Sistierung erachtete sie aufgrund der pauschalen Vorbringen des Beschwerdeführers nicht als angebracht. Zudem sei unklar und werde nicht dargetan, inwiefern sich diese Vorwürfe gegen den Beschwerdegegner auf das laufende Verfahren auswirken könnten. Worin die vom Beschwerdeführer angesprochene einheitliche Behandlung konkret bestehen könnte, erschliesse sich aufgrund seiner Darlegungen nicht.</w:t>
      </w:r>
    </w:p>
    <w:p>
      <w:r>
        <w:rPr>
          <w:b/>
        </w:rPr>
        <w:t>E. 2.2</w:t>
      </w:r>
    </w:p>
    <w:p>
      <w:r>
        <w:t>Der Antrag des Beschwerdeführers lautet unter anderem auch auf Aufhebung des Beschlusses. Eventualiter verlangt er in diesem Zusammenhang die Rückweisung der Sache zur Neubeurteilung. Der Beschwerdeführer wirft der Vorinstanz vor, sich mit verschiedenen seiner Rügen nicht auseinandergesetzt zu haben. Konkret bezieht er sich auf die nach Bekanntgabe der anwaltlichen Bevollmächtigung des Beschwerdegegners im bereits laufenden kantonalen Verfahren gemachten Ausführungen zur mutmasslichen Verletzung des Amts- und Steuergeheimnisses, zur mutmasslichen Interessenkollision und zur mutmasslichem Umgehung des Vergaberechts. Gestützt darauf hatte er sich gegen den Antrag des Beschwerdegegners, die Sistierung des Verfahrens aufzuheben, zur Wehr gesetzt.</w:t>
      </w:r>
    </w:p>
    <w:p>
      <w:r>
        <w:rPr>
          <w:b/>
        </w:rPr>
        <w:t>E. 2.2.1</w:t>
      </w:r>
    </w:p>
    <w:p>
      <w:r>
        <w:t>Der Anspruch auf rechtliches Gehör nach Art. 29 Abs. 2 BV verlangt, dass die Behörde die Vorbringen des vom Entscheid in seiner Rechtsstellung Betroffenen auch tatsächlich hört, prüft und in seiner Entscheidfindung berücksichtigt. Daraus folgt die Verpflichtung der Behörde, ihren Entscheid zu begründen. Sie muss sich allerdings nicht mit sämtlichen Parteistandpunkten einlässlich auseinandersetzen und jedes Vorbringen ausdrücklich widerlegen. Vielmehr kann sie sich auf die für den Entscheid wesentlichen Punkte beschränken. Die Begründung muss so abgefasst sein, dass sich die betroffene Partei über dessen Tragweite Rechenschaft geben und ihn in voller Kenntnis der Sache anfechten kann ( BGE 145 III 324 E. 6.1 ; 134 I 83 E. 4.1).</w:t>
      </w:r>
    </w:p>
    <w:p>
      <w:r>
        <w:rPr>
          <w:b/>
        </w:rPr>
        <w:t>E. 2.2.2</w:t>
      </w:r>
    </w:p>
    <w:p>
      <w:r>
        <w:t>Die Vorinstanz hat die erwähnten Vorwürfe des Beschwerdeführers durchaus zur Kenntnis genommen. Indes hat sie diese als nicht relevant erachtet, um über die vom Beschwerdeführer beantragte weitere Sistierung des Verfahrens zu befinden. Die anwaltliche Vertretung des Beschwerdegegners hat sie als gültig erachtet und entsprechend ins Rubrum des Urteils aufgenommen. Von einer Anzeige an die Aufsichtskommission über die Anwältinnen und Anwälte hat die Vorinstanz abgesehen, da es an konkreten Anhaltspunkten für die behaupteten Verfehlungen des Beschwerdegegners fehle.</w:t>
      </w:r>
    </w:p>
    <w:p>
      <w:r>
        <w:rPr>
          <w:b/>
        </w:rPr>
        <w:t>E. 2.2.3</w:t>
      </w:r>
    </w:p>
    <w:p>
      <w:r>
        <w:t>Aus der vorinstanzlichen Begründung geht in genügender Weise hervor, weshalb der Antrag auf eine weitere Sistierung des Verfahrens abgelehnt und aus welchen Gründe keine Aufsichtsanzeige eingereicht wurde. Eine Verletzung der Begründungspflicht liegt daher nicht vor. Inwieweit die vom Beschwerdeführer erhobenen Vorwürfe in der Sache zutreffen, ist nicht eine Frage des rechtlichen Gehörs und musste von der Vorinstanz nicht materiell beurteilt werden, weil die Vorwürfe nicht Gegenstand des vorliegenden Verfahrens waren.</w:t>
      </w:r>
    </w:p>
    <w:p>
      <w:r>
        <w:rPr>
          <w:b/>
        </w:rPr>
        <w:t>E. 3</w:t>
      </w:r>
    </w:p>
    <w:p>
      <w:r>
        <w:t>In der Sache besteht nach Ansicht der Vorinstanz kein Anlass, den Zahlungsbefehl in der Betreibung Nr. yyy des Betreibungsamtes U.________ aufzuheben. Zudem sei der Forderungsgrund durchaus erkennbar. Auch sei kein rechtsmissbräuchliches Verhalten des Gläubigers oder ein anderer Nichtigkeitsgrund erkennbar. Demgegenüber besteht der Beschwerdeführer darauf, dass der Zahlungsbefehl an wesentlichen Mängeln leide und darum nichtig sei. Das Vorgehen des Beschwerdegegners erweise sich aufgrund der Mehrfachbetreibungen als rechtsmissbräuchlich.</w:t>
      </w:r>
    </w:p>
    <w:p>
      <w:r>
        <w:rPr>
          <w:b/>
        </w:rPr>
        <w:t>E. 4</w:t>
      </w:r>
    </w:p>
    <w:p>
      <w:r>
        <w:t>Anlass der Beschwerde bildet die Gültigkeit eines Zahlungsbefehls in einer Betreibung, die auf Geldzahlung lautet. Strittig ist insbesondere die Umschreibung des Forderungsgrundes auf dem Zahlungsbefehl und das Vorgehen des Gläubigers.</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in Beachtung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yyy unter der Rubrik "Forderungsurkunde mit Datum oder Angabe des Forderungsgrundes" folgende Angaben: "Nachsteuern und Bussen inkl. Zins bis 29. Februar 2016 pro 2005 bis 2009 CHF 80'310'032.85 Zins 4,5 % seit 01.03.2016 Prosequierung des Arrestes Nr. xxx/2016 des Betreibungsamtes U.________" Die Vorinstanz erläuterte dem Beschwerdeführer, dass es sich im vorliegenden Fall bereits aus dem Zahlungsbefehl und auch ohne Kenntnis der gesamten Umstände ergebe, dass er vom Beschwerdegegner für Nachsteuern der Jahre 2005 bis 2009 betrieben wird, wofür bereits der Arrest Nr. xxx/2016 des Betreibungsamtes U.________ gelegt worden war. Gemäss den gesetzlichen Anforderungen an einen Zahlungsbefehl müsse dem Beschwerdeführer bereits hinreichend klar werden, wofür er betrieben werde, um sich für oder gegen die Anerkennung der Forderung zu entscheiden. Dies gelte erst Recht mit Blick auf die jahrelangen vom Beschwerdeführer veranlassten Verfahren. Wenn er nunmehr vorbringe, nicht zu wissen, wofür er betrieben werde, erweise sich diese Haltung geradezu als offensichtlich treuwidrig. Da dem Beschwerdeführer aufgrund der gesamten ihm bekannten Umstände klar sein müsse, wofür er betrieben werde, erwachse ihm aus der Nichterwähnung der Nachsteuerverfügung vom 27. Januar 2016 keinerlei Nachteil.</w:t>
      </w:r>
    </w:p>
    <w:p>
      <w:r>
        <w:rPr>
          <w:b/>
        </w:rPr>
        <w:t>E. 4.2.2</w:t>
      </w:r>
    </w:p>
    <w:p>
      <w:r>
        <w:t>Nach Ansicht des Beschwerdeführers ist es offensichtlich, dass der Zahlungsbefehl Nr. yyy an wesentlichen Mängeln leidet und daher nichtig erklärt oder mindestens aufgehoben werden muss. Er führt aus, dem Zahlungsbefehl lasse sich keine Forderungsurkunde entnehmen. Dass ihm aufgrund der gesamten Umstände und nach Treu und Glauben klar sein müsse, wofür er betrieben werde, treffe nicht zu. Diese Vorbringen des Beschwerdeführers erschöpfen sich in blossen Behauptungen und stellen keine rechtsgenügliche Auseinandersetzung mit dem vorinstanzlichen Standpunkt dar. Darauf ist nicht einzutreten.</w:t>
      </w:r>
    </w:p>
    <w:p>
      <w:r>
        <w:rPr>
          <w:b/>
        </w:rPr>
        <w:t>E. 4.3</w:t>
      </w:r>
    </w:p>
    <w:p>
      <w:r>
        <w:t>Der Beschwerdeführer wirft dem Beschwerdegegner schliesslich vor, durch seine Mehrfachbetreibungen ein rechtsmissbräuchliches Verhalten an den Tag zu legen. Der Zahlungsbefehl in der Betreibung Nr. yyy erweise sich auch aus diesem Grunde als nichtig bzw. sei aufzuheben.</w:t>
      </w:r>
    </w:p>
    <w:p>
      <w:r>
        <w:rPr>
          <w:b/>
        </w:rPr>
        <w:t>E. 4.3.1</w:t>
      </w:r>
    </w:p>
    <w:p>
      <w:r>
        <w:t>Nach ständiger Rechtsprechung erweist sich eine Betreibung nur in Ausnahmefällen wegen Rechtsmissbrauch als nichtig. Dazu gehört insbesondere ein Verhalten des Gläubigers, der mit einer Betreibung offensichtlich Ziele verfolgt, die nicht das Geringste mit der Zwangsvollstreckung zu tun haben. Dies ist beispielsweise der Fall, wenn bloss die Kreditwürdigkeit des (angeblichen) Schuldners geschädigt werden soll oder wenn zwecks Schikane ein völlig übersetzter Betrag in Betreibung gesetzt wird ( BGE 140 III 481 E. 2.3.1; 130 II 270 E. 3.3.2; 115 III 18 E. 3b, 113 III 2 E. 2b; Urteil 5A_317/2015 vom 13. Oktober 2015 E. 2.1).</w:t>
      </w:r>
    </w:p>
    <w:p>
      <w:r>
        <w:rPr>
          <w:b/>
        </w:rPr>
        <w:t>E. 4.3.2</w:t>
      </w:r>
    </w:p>
    <w:p>
      <w:r>
        <w:t>Die Vorinstanz hat - wie schon die Erstinstanz - dem Beschwerdeführer erörtert, dass es sich beim Betreibungsort um eine gesetzliche Vorschrift handelt, die zwingendes Recht darstellt. Jedes Betreibungsamt habe von Amtes wegen seine örtliche Zuständigkeit zu prüfen. Der Gläubiger habe nur dann ein Wahlrecht, sofern gleichzeitig die Voraussetzungen verschiedener Betreibungsorte erfüllt seien. In seiner Begründung wiederhole der Beschwerdeführer lediglich das bisher Vorgetragene, ohne Bezug auf den erstinstanzlichen Entscheid zu nehmen. Insoweit sei auf die Beschwerde nicht einzutreten. Selbst wenn dies der Fall wäre, könnte - so die Vorinstanz - der Beschwerde in der Sache kein Erfolg beschieden sein. Wie schon die Erstinstanz festgestellt habe, sei kein rechtsmissbräuchliches Verhalten seitens des Beschwerdegegners erkennbar. Im konkreten Fall gehe es ihm einzig um die Eintreibung einer Forderung. Dass er mit der Betreibung noch andere und sachfremde Ziele verfolgen würde, sei nicht erkennbar. Zwar führe die Mehrfachbetreibung (an verschiedenen Arrestorten) zwangsläufig zu einem Mehraufwand sowohl für den Gläubiger wie für den Schuldner. Dass dieser Umstand eine gewisse Zermürbung auf Seiten des Beschwerdeführers zur Folge habe, könne nicht in Abrede gestellt werden, stelle indes die logische Nebenfolge dar, dass der Beschwerdegegner von seinen gesetzlichen Möglichkeiten Gebrauch mache, Betreibungen an mehreren Orten zu erheben, um die Durchsetzung seiner Forderung zu erreichen. Zur Frage der schonenden Rechtsausübung wies die Vorinstanz auf die geltende Regelung hin, wonach beim Steuerarrest die Betreibung ohne vorgängige Mahnung eingeleitet werden kann ( Art. 165 Abs. 2 DBG ). Damit sei der Nichtigkeitsgrund des rechtsmissbräuchlichen Verhaltens des Beschwerdegegners zu verneinen.</w:t>
      </w:r>
    </w:p>
    <w:p>
      <w:r>
        <w:rPr>
          <w:b/>
        </w:rPr>
        <w:t>E. 4.3.3</w:t>
      </w:r>
    </w:p>
    <w:p>
      <w:r>
        <w:t>Konkret rügt der Beschwerdeführer das Verhalten des Beschwerdegegners als rechtsmissbräuchlich, da er an sechs Betreibungsorten für behauptete Ansprüche von Fr. 162'000'000.-- aus drei Komplexen von Forderungsurkunden fehlerhafte Zahlungsbefehle in der Höhe von insgesamt Fr. 1'138'200'000.-- hätte ausstellen lassen. Dadurch werde er ohne sachlichen Grund gezwungen, bei verschiedenen Aufsichtsbehörden gegen die Mehrfachbetreibungen für dieselben Forderungen Beschwerden wegen vergleichbar mangelhafter Zahlungsbefehle einzureichen. Dies führe zu einer Zersplitterung des Verfahrens, welches lediglich seiner Zermürbung diene. Damit erweise sich das Verhalten des Beschwerdegegners als rechtsmissbräuchlich.</w:t>
      </w:r>
    </w:p>
    <w:p>
      <w:r>
        <w:rPr>
          <w:b/>
        </w:rPr>
        <w:t>E. 4.3.4</w:t>
      </w:r>
    </w:p>
    <w:p>
      <w:r>
        <w:t>Mit diesen Vorbringen verkennt der Beschwerdeführer, dass der Beschwerdegegner sich als Gemeinwesen um die Einbringung von Steuerschulden bemühen muss. Ob diese tatsächlich bestehen, ist freilich nicht eine Frage der Gültigkeit des Zahlungsbefehls. Dass der Beschwerdegegner mit den Betreibungen andere Ziele als das Inkasso seiner Forderungen verfolge, ist nicht ersichtlich. Mit der blossen Behauptung, die Vielzahl von Betreibungen führe zu einer Zersplitterung des Verfahrens, womit er zermürbt werden solle, verkennt der Beschwerdeführer offensichtlich, dass es nicht um ein einziges Verfahren geht. Zur Sicherung der verschiedenen Steuerforderungen des Beschwerdegegners wurden eine Reihe von Vermögenswerten am Orte, wo sie sich befinden, mit Arrest belegt ( Art. 272 Abs. 1 SchKG ). Zu deren Aufrechterhaltung hat eine Betreibung am gesetzlichen Betreibungsort zu erfolgen ( Art. 279 Abs. 1 SchKG ). Dies führt zweifellos zu einer Vielzahl von Verfahren und der damit verbundene Aufwand mag für alle Beteiligten mühsam und aufwändig sein. Inwiefern dies aufgrund des Forderungsumfangs und der notwendigen Vorkehren zur Aufrechterhaltung des jeweiligen Arrestes an den verschiedenen Orten de lege lata nicht unvermeidbar sei, behauptet der Beschwerdeführer selber nicht und hat er auch im vorinstanzlichen Verfahren nicht in Frage gestellt. Von einer offenbar rechtsmissbräuchlichen Betreibung des Beschwerdegegners kann daher keine Rede sein.</w:t>
      </w:r>
    </w:p>
    <w:p>
      <w:r>
        <w:rPr>
          <w:b/>
        </w:rPr>
        <w:t>E. 5</w:t>
      </w:r>
    </w:p>
    <w:p>
      <w:r>
        <w:t>Nach dem Gesagten ist der Beschwerde insgesamt kein Erfolg beschieden, soweit darauf überhaupt einzutreten ist. Ausgangsgemäss werden die Gerichtskosten dem Beschwerdeführer auferlegt ( Art. 66 Abs. 1 BGG ). Dem Beschwerdegegner als Gemeinwesen steht für die Stellungnahme zum Gesuch um Erlass vorsorglicher Massnahmen und um Sistierung der Beschwerde keine Parteientschädigung zu ( Art. 68 Abs. 3 BGG ; SEILER, in: Bundesgerichtsgesetz [BGG], 2. Aufl. 2015, N. 25 zu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