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5A_724/2014 vom 27. März 2015</w:t>
      </w:r>
    </w:p>
    <w:p>
      <w:r>
        <w:t>Bundesgericht, 2015-03-27, FR</w:t>
      </w:r>
    </w:p>
    <w:p>
      <w:r>
        <w:rPr>
          <w:b/>
        </w:rPr>
        <w:t xml:space="preserve">Quelle: </w:t>
      </w:r>
      <w:r>
        <w:t>https://mcp.opencaselaw.ch/entscheid/bger_5A_724_2014</w:t>
      </w:r>
    </w:p>
    <w:p>
      <w:r>
        <w:t>FR: TF 5A_724/2014 du 27 mars 2015</w:t>
      </w:r>
    </w:p>
    <w:p>
      <w:r>
        <w:t>IT: TF 5A_724/2014 del 27 marzo 2015</w:t>
      </w:r>
    </w:p>
    <w:p>
      <w:pPr>
        <w:pStyle w:val="Heading2"/>
      </w:pPr>
      <w:r>
        <w:t>Erwägungen</w:t>
      </w:r>
    </w:p>
    <w:p>
      <w:r>
        <w:rPr>
          <w:b/>
        </w:rPr>
        <w:t>E. 1.1</w:t>
      </w:r>
    </w:p>
    <w:p>
      <w:r>
        <w:t>Le recours a été déposé en temps utile ( art. 100 al. 1 LTF ) et dans la forme légale ( art. 42 LTF ) contre une décision finale ( art. 90 LTF ) rendue dans une affaire matrimoniale ( art. 72 al. 1 LTF ) par une autorité cantonale supérieure statuant en dernière instance et sur recours ( art. 75 al. 1 et 2 LTF ). Le litige porte sur l'attribution des droits parentaux et sur les contributions à l'entretien des enfants, en sorte que la cause est non pécuniaire dans son ensemble (arrêt 5A_324/2014 du 9 octobre 2014 consid. 1 et la jurisprudence citée). Le recourant a en outre qualité pour recourir ( art. 76 al. 1 LTF ).</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des droits fondamentaux que si ce grief a été invoqué et dûment motivé par le recourant ("principe d'allégation",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(art. 97 al. 1</w:t>
      </w:r>
    </w:p>
    <w:p>
      <w:r>
        <w:t>in fine LTF). Le recourant qui soutient que les faits ont été établis de manière manifestement inexacte ( art. 97 al. 1 LTF ), à savoir arbitraire au sens de l' art. 9 Cst. ( ATF 134 IV 36 consid. 1.4.1; 133 II 249 consid. 1.2.2), doit démontrer, par une argumentation précise, en quoi consiste la violation, conformément au principe d'allégation susmentionné (cf. supra consid. 1.2).</w:t>
      </w:r>
    </w:p>
    <w:p>
      <w:r>
        <w:t>Vu ce qui précède, il ne saurait être tenu compte des considérations formulées - de manière purement appellatoire - par le recourant dans la partie "en fait" de son recours, faute pour lui d'avoir soulevé le grief d'arbitraire ( art. 9 Cst. ) dans l'établissement des faits.</w:t>
      </w:r>
    </w:p>
    <w:p>
      <w:r>
        <w:rPr>
          <w:b/>
        </w:rPr>
        <w:t>E. 2</w:t>
      </w:r>
    </w:p>
    <w:p>
      <w:r>
        <w:t>Les nouvelles dispositions sur l'autorité parentale sont entrées en vigueur le 1er juillet 2014. Selon l' art. 12 al. 1 Tit. fin. CC , les effets de la filiation sont soumis au nouveau droit dès son entrée en vigueur. Pour les procès en divorce pendants, l' art. 7b Tit. fin. CC prévoit toutefois que le nouveau droit n'est applicable que par les autorités cantonales (al. 1), alors que le Tribunal fédéral applique l'ancien droit (al. 3); la modification de la loi concernant l'autorité parentale n'a pas d'effet anticipé (arrêt 5A_92/2014 du 23 juillet 2014 consid. 2.1 et 2.3).</w:t>
      </w:r>
    </w:p>
    <w:p>
      <w:r>
        <w:t>En l'espèce, l'arrêt de la Cour d'appel est daté du 31 mars 2014. Son dispositif a été communiqué par écrit aux intéressés le 1er avril 2014 et la décision motivée leur a été notifiée le 22 juillet suivant. Dès lors que selon l' art. 318 al. 2 CPC - qui l'emporte sur l' art. 112 al. 2 LTF -, l'autorité d'appel doit communiquer sa décision aux parties avec une motivation écrite, sans que celles-ci aient à le demander, l' art. 239 al. 1 et 2 CPC n'étant pas applicable (Jeandin/Peyrot, Précis de procédure civile, 2015, n° 768; HOFMANN/LÜSCHER, Le Code de procédure civile, 2e éd. 2015, p. 219 et 293; GASSER/RICKLI, Schweizerische Zivilprozess-ordnung [ZPO], Kurzkommentar, 2e éd. 2014, n° 3 ad art. 318 CPC ; KARL SPÜHLER, in Basler Kommentar, 2e éd. 2013, n° 9 ad art. 318 CPC ; NICOLAS JEANDIN, in Code de procédure civile commenté, 2011, n° 6 ad art. 318 CPC ; PETER VOLKART, in Schweizerische Zivilprozessordnung, Kommentar, 2011, Brunner/Gasser/Schwander [éd.], n° 9 ad art. 318 CPC ; LEUENBERGER/UFFER-TOBLER, Schweizerisches Zivilprozessrecht, 2010, n° 12.60 p. 400), on peut se demander si ce procédé est admissible.</w:t>
      </w:r>
    </w:p>
    <w:p>
      <w:r>
        <w:t>En effet, si certains auteurs considèrent que la décision de l'autorité cantonale de recours peut être officiellement communiquée par l'envoi du dispositif et motivée ultérieurement ( BEAT MATHYS, in Schweizerische Zivilprozessordnung [ZPO], Baker &amp; McKenzie [éd.], 2010, n° 16 ad art. 318 CPC ; CHRISTOPH LEUENBERGER, Die neue Schweizerische ZPO: die Rechtsmittel, in Anwaltsrevue/Revue de l'avocat 11/2008 p. 332 ss, 335/336; MARTIN H. STERCHI, in Berner Kommentar, 2012, n° 19 ad art. 318 CPC ), d'autres estiment que la communication de la décision doit être obligatoirement écrite et motivée ( art. 318 al. 2 CPC , 112 al. 1 let. b LTF), en sorte que si l'une ou l'autre de ces conditions n'est pas remplie - notamment en cas de notification écrite du dispositif de la décision sans motivation -, la communication est dépourvue d'effet juridique ( REETZ/HILBER, Kommentar zur Schweizerischen Zivilprozess-ordnung, Sutter-Somm et al. [éd.], 2e éd. 2013, n° 58 ad art. 318 CPC ; apparemment dans ce sens: JACQUES HALDY, Procédure civile suisse, 2014, p. 157, selon lequel les décisions rendues sur appel et sur recours sont motivées d'emblée d'office [art. 318 al. 2, respectivement 327 al. 5 CPC]; sur l'effet juridique de la communication, cf. ATF 122 I 97 consid. 3a/bb; arrêt 5A_881/2014 du 24 février 2015 consid. 3). A cet égard, il convient de relever qu'en ce qui concerne les décisions de première instance ( art. 239 CPC ), les deux cours de droit civil du Tribunal fédéral ont décidé en commun, le 31 mars 2011, que la remise d'un dispositif écrit aux parties, le cas échéant, vaut communication, et que celle-ci n'est pas reportée à la remise d'une expédition motivée ( ATF 137 III 127 consid. 2, 130 consid. 2</w:t>
      </w:r>
    </w:p>
    <w:p>
      <w:r>
        <w:t>in fine ). Ce point n'a cependant pas été tranché s'agissant des décisions sur recours.</w:t>
      </w:r>
    </w:p>
    <w:p>
      <w:r>
        <w:t>Ces questions, de même que celle éventuellement susceptible d'en découler, du droit applicable</w:t>
      </w:r>
    </w:p>
    <w:p>
      <w:r>
        <w:t>ratione temporis en instance de recours cantonale, peuvent rester indécises. En effet, le recourant ne formule pas de critiques à ce sujet. Il n'a en outre jamais pris de conclusions tendant au maintien de l'autorité parentale conjointe, lequel serait la règle en application du nouveau droit (cf. art. 296 al. 1 et 298 al. 1 CC). Or, si le Tribunal fédéral examine certes le droit d'office ( art. 106 al. 1 LTF ), il n'est cependant pas tenu de traiter, vu l'exigence de motivation prévue à l' art. 42 al. 1 et 2 LTF , toutes les questions juridiques qui se posent, lorsque celles-ci ne sont pas soulevées devant lui ( ATF 140 III 86 consid. 2; 137 III 580 consid. 1.3).</w:t>
      </w:r>
    </w:p>
    <w:p>
      <w:r>
        <w:rPr>
          <w:b/>
        </w:rPr>
        <w:t>E. 3</w:t>
      </w:r>
    </w:p>
    <w:p>
      <w:r>
        <w:t>Le recourant reproche à l'autorité cantonale d'avoir enfreint les art. 133 al. 1 et 2 ainsi que 134 al. 1 CC en maintenant l'attribution de l'autorité parentale et de la garde de ses filles à l'intimée.</w:t>
      </w:r>
    </w:p>
    <w:p>
      <w:r>
        <w:t>Contrairement aux exigences de motivation requises, le recourant se contente de reprendre, souvent textuellement, de larges passages de son écriture produite devant les juges précédents. Dans cette mesure, il ne s'en prend pas à la décision querellée; les critiques qu'il formule sont ainsi d'emblée irrecevables. Pour le surplus, ses allégations ne mettent en évidence aucune violation du droit fédéral. Tel est le cas lorsqu'il affirme que l'autorité cantonale s'est uniquement basée sur les propos émis par le Service de protection de la jeunesse (SPJ), lequel n'a jamais tenu compte de l'avis des enfants, et que la volonté de sa fille aînée de vivre auprès de lui, évoquée par son curateur, n'a pas été prise en considération. Il en va de même lorsqu'il soutient qu'il s'est toujours occupé des enfants de manière adéquate, alors que la santé psychologique de C.________ n'est manifestement pas garantie au domicile de sa mère, cette dernière affirmation étant au demeurant purement appellatoire. Ses considérations sur les difficultés d'accès aux soins médicaux de sa fille aînée, au motif qu'elle vit chez lui et que l'intimée est en possession de la carte d'assurée de celle-ci, ne trouvent par ailleurs aucun appui dans l'arrêt querellé. Enfin, contrairement à ce que prétend le recourant en invoquant l' art. 134 CC , l'autorité cantonale n'a pas omis de prendre en considération la situation de sa fille cadette, qui dans les faits se trouve séparée de sa soeur. A cet égard, les juges précédents ont considéré qu'il paraissait délicat de séparer formellement la fratrie, et qu'aucun élément ne justifiait de modifier l'attribution de l'autorité parentale et du droit de garde sur D.________, l'appel ne comportant du reste aucune motivation en ce sens. On ne voit dès lors pas non plus en quoi l'autorité cantonale aurait violé le droit fédéral sur ce point.</w:t>
      </w:r>
    </w:p>
    <w:p>
      <w:r>
        <w:rPr>
          <w:b/>
        </w:rPr>
        <w:t>E. 4</w:t>
      </w:r>
    </w:p>
    <w:p>
      <w:r>
        <w:t>En ce qui concerne les contributions d'entretien dues en faveur de ses filles, le recourant reproche à l'autorité cantonale d'avoir violé les art. 133 al. 1 et 285 CC .</w:t>
      </w:r>
    </w:p>
    <w:p>
      <w:r>
        <w:t>Dans la mesure où il soutient qu'étant donné l'attribution de l'autorité parentale et de la garde des enfants à leur père, l'intimée doit être condamnée à verser en faveur de chacun d'eux des contributions d'entretien d'un montant de 750 fr. par mois, mais au minimum de 500 fr. par mois, son grief tombe à faux, les droits parentaux restant attribués à la mère; il en va de même des arguments qu'il présente pour le cas où seuls l'autorité parentale et le droit de garde sur sa fille aînée lui seraient attribués, cette hypothèse n'étant pas réalisée (cf. supra consid. 2). Quant à ses critiques relatives à sa situation financière, elles consistent à nouveau en une reprise, presque mot pour mot, de l'argumentation qu'il avait présentée sans succès en appel. Par ce procédé, il ne s'en prend pas, de manière conforme aux réquisits sus-rappelés (cf. supra consid. 1.2), aux motifs déterminants des juges précédents. Un tel procédé est inadmissible et entraîne l'irrecevabilité du moyen.</w:t>
      </w:r>
    </w:p>
    <w:p>
      <w:r>
        <w:rPr>
          <w:b/>
        </w:rPr>
        <w:t>E. 5</w:t>
      </w:r>
    </w:p>
    <w:p>
      <w:r>
        <w:t>Enfin, le recourant soutient que l'autorité cantonale a fait preuve d'arbitraire en attribuant l'autorité parentale et le droit de garde sur les enfants à l'intimée.</w:t>
      </w:r>
    </w:p>
    <w:p>
      <w:r>
        <w:t>Sous l'angle de l'arbitraire, le recourant reprend de façon quasiment identique le grief figurant aux pages 41 ss de son mémoire, intitulé " de la violation des art. 133 alinéas 1 et 2 et 134 alinéa 1 CC ". Il suffit de renvoyer à cet égard au considérant 2 ci-dessus, les exigences de motivation de l' art. 106 al. 2 LTF n'étant</w:t>
      </w:r>
    </w:p>
    <w:p>
      <w:r>
        <w:t>a fortiori pas remplies.</w:t>
      </w:r>
    </w:p>
    <w:p>
      <w:r>
        <w:rPr>
          <w:b/>
        </w:rPr>
        <w:t>E. 6</w:t>
      </w:r>
    </w:p>
    <w:p>
      <w:r>
        <w:t>En conclusion, le présent recours doit être rejeté dans la très faible mesure de sa recevabilité, aux frais de son auteur ( art. 66 al. 1 LTF ). Ses conclusions étant d'emblée dénuées de chances de succès, la requête d'assistance judiciaire du recourant ne saurait être agréée.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