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724/2013 vom 17. Februar 2014</w:t>
      </w:r>
    </w:p>
    <w:p>
      <w:r>
        <w:t>Bundesgericht, 2014-02-17, DE</w:t>
      </w:r>
    </w:p>
    <w:p>
      <w:r>
        <w:rPr>
          <w:b/>
        </w:rPr>
        <w:t xml:space="preserve">Quelle: </w:t>
      </w:r>
      <w:r>
        <w:t>https://mcp.opencaselaw.ch/entscheid/bger_5A_724_2013</w:t>
      </w:r>
    </w:p>
    <w:p>
      <w:r>
        <w:t>FR: TF 5A 724/2013 du 17 février 2014</w:t>
      </w:r>
    </w:p>
    <w:p>
      <w:r>
        <w:t>IT: TF 5A 724/2013 del 17 febbraio 2014</w:t>
      </w:r>
    </w:p>
    <w:p>
      <w:pPr>
        <w:pStyle w:val="Heading2"/>
      </w:pPr>
      <w:r>
        <w:t>Regeste</w:t>
      </w:r>
    </w:p>
    <w:p>
      <w:r>
        <w:t>Vorsorgliche Massnahmen zum Schutz der Persönlichkeit | Personenrecht</w:t>
      </w:r>
    </w:p>
    <w:p>
      <w:pPr>
        <w:pStyle w:val="Heading2"/>
      </w:pPr>
      <w:r>
        <w:t>Erwägungen</w:t>
      </w:r>
    </w:p>
    <w:p>
      <w:r>
        <w:rPr>
          <w:b/>
        </w:rPr>
        <w:t>E. 1</w:t>
      </w:r>
    </w:p>
    <w:p>
      <w:r>
        <w:t>Der angefochtene Beschluss betrifft vorsorgliche Massnahmen ( Art. 261 ff. ZPO ) zum Schutz der Persönlichkeit gegen Verletzungen ( Art. 28 ZGB ) und unterliegt damit grundsätzlich der Beschwerde in Zivilsachen ( Art. 72 ff. BGG ). Mit Beschwerde gegen Entscheide über vorsorgliche Massnahmen kann nur die Verletzung verfassungsmässiger Rechte gerügt werden ( Art. 98 BGG ). Das Bundesgericht prüft dabei nicht von Amtes wegen, ob der angefochtene Entscheid verfassungsmässig ist, sondern nur rechtsgenügend vorgebrachte, klar erhobene und, soweit möglich, belegte Rügen ( Art. 106 Abs. 2 BGG ; BGE 134 I 83 E. 3.2 S. 88 ; 138 I 171 E. 1.4 S. 176).</w:t>
      </w:r>
    </w:p>
    <w:p>
      <w:r>
        <w:rPr>
          <w:b/>
        </w:rPr>
        <w:t>E. 2</w:t>
      </w:r>
    </w:p>
    <w:p>
      <w:r>
        <w:t>Vor den kantonalen Gerichten war die Prozessvoraussetzung streitig, wonach das Gericht auf ein Gesuch eintritt, sofern die Sache noch nicht rechtskräftig entschieden ist (Art. 59 Abs. 1 und Abs. 2 lit. e ZPO). Die Streitfrage hat dahin gehend gelautet, ob der in Deutschland geschlossene und in der Schweiz vollstreckbare Vergleich dem später eingereichten Gesuch um vorsorgliche Massnahmen als abgeurteilte Sache ("res transacta") entgegenstehe. Das Kantonsgericht hat die Frage insoweit bejaht, als der Vergleich das Verbot betreffend Firmen-E-Mail-Account Y.________@A.________. de erfasst. Keine Identität des Streitgegenstandes hat nach kantonsgerichtlicher Ansicht hingegen mit Bezug auf das Verbot betreffend Firmen-E-Mail-Account Y.________@A.________. ch vorgelegen (E. 5 S. 7 ff. des angefochtenen Beschlusses). Die Beschwerdeführerin wendet dagegen eine unrichtige Beurteilung des Streitgegenstandes ein (S. 6 ff. Ziff. IV/2 lit. a der Beschwerdeschrift). Sie erhebt dabei keinerlei Verfassungsrügen. Das Bundesgericht aber kann unter dem auf die Verletzung verfassungsmässiger Rechte beschränkten Blickwinkel ( Art. 98 BGG ) die Anwendung von Art. 59 Abs. 2 lit. e ZPO nicht frei überprüfen, sondern lediglich daraufhin, ob die angerufene Gesetzesbestimmung qualifiziert unrichtig angewendet wurde, wobei es der Beschwerdeführerin obliegt, anhand der angefochtenen Subsumtion im Einzelnen zu zeigen, inwiefern der Entscheid offensichtlich unhaltbar ist, mit der tatsächlichen Situation in klarem und offensichtlichem Widerspruch steht, eine Norm oder einen unumstrittenen Rechtsgrundsatz krass verletzt oder in stossender Weise dem Gerechtigkeitsgedanken zuwiderläuft ( Art. 9 BV ; vgl. BGE 110 Ia 1 E. 2a S. 3 f.; 133 III 462 E. 4.4.1 S. 470). Daran fehlt es, so dass auf die Beschwerde in diesem Punkt nicht einzutreten ist.</w:t>
      </w:r>
    </w:p>
    <w:p>
      <w:r>
        <w:rPr>
          <w:b/>
        </w:rPr>
        <w:t>E. 3</w:t>
      </w:r>
    </w:p>
    <w:p>
      <w:r>
        <w:t>Eine Verletzung ihres Anspruchs auf rechtliches Gehör ( Art. 29 Abs. 2 BV ) erblickt die Beschwerdeführerin darin, dass das Kantonsgericht sich nicht mit der Frage auseinandergesetzt habe, ob aufgrund des rechtskräftigen Titels die Wiederholungsgefahr als notwenige Voraussetzung des Superprovisoriums entfallen sei. Insofern sei jedenfalls ihr Anspruch auf rechtliches Gehör verletzt, weil sich das Kantonsgericht im Rahmen des superprovisorischen Verfahrens aufgrund des Parteivortrags habe veranlasst sehen müssen, sich mit der Frage der Wiederholungsgefahr bei Vorliegen einer rechtskräftigen Entscheidung in einem Parallelverfahren auseinanderzusetzen (S. 8 f. Ziff. IV/2 lit. b der Beschwerdeschrift). Im Berufungsverfahren hatte sich das Kantonsgericht weder mit dem Inhalt der superprovisorischen Verfügung noch mit deren besonderen Voraussetzungen ( Art. 265 Abs. 1 ZPO ) zu befassen. Mit Berufung anfechtbar ist einzig die vorsorgliche Massnahme, die nach Anhörung der Parteien erlassen wird und die vorausgegangene superprovisorische Verfügung ersetzt und dahinfallen lässt ( Art. 265 Abs. 2 ZPO ; BGE 139 III 86 E. 1.1.1 S. 87 f.; Urteil 4A_160/2013 vom 21. August 2013 E. 2.1, in: sic! 2014 S. 30). Eine Verletzung der verfassungsmässigen Prüfungs- und Begründungspflicht liegt deshalb nicht vor ( Art. 29 Abs. 2 BV ; BGE 136 I 184 E. 2.2.1 S. 188).</w:t>
      </w:r>
    </w:p>
    <w:p>
      <w:r>
        <w:rPr>
          <w:b/>
        </w:rPr>
        <w:t>E. 4</w:t>
      </w:r>
    </w:p>
    <w:p>
      <w:r>
        <w:t>Insgesamt muss die Beschwerde abgewiesen werden, soweit darauf einzutreten ist. Die Beschwerdeführerin wird damit kostenpflichtig ( Art. 66 Abs. 1 BGG ), hingegen nicht entschädigungspflichtig, da die Beschwerdegegnerin zur Vernehmlassung nicht eingeladen wurde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