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5A_720/2018 vom 11. September 2018</w:t>
      </w:r>
    </w:p>
    <w:p>
      <w:r>
        <w:t>Bundesgericht, 2018-09-11, FR</w:t>
      </w:r>
    </w:p>
    <w:p>
      <w:r>
        <w:rPr>
          <w:b/>
        </w:rPr>
        <w:t xml:space="preserve">Quelle: </w:t>
      </w:r>
      <w:r>
        <w:t>https://mcp.opencaselaw.ch/entscheid/bger_5A_720_2018</w:t>
      </w:r>
    </w:p>
    <w:p>
      <w:r>
        <w:t>FR: TF 5A_720/2018 du 11 septembre 2018</w:t>
      </w:r>
    </w:p>
    <w:p>
      <w:r>
        <w:t>IT: TF 5A_720/2018 del 11 settembre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Statuant le 16 novembre 2017 (cause C/10938/2017-5 SFC), le Tribunal de première instance de Genève a annulé un jugement du 8 juin 2017 qui avait ordonné la liquidation de la succession de feu B.________ selon les règles de la faillite; il a retenu que ce jugement était erroné dans la mesure où les conditions de l' art. 193 al. 1 ch. 1 LP n'étaient pas réunies, puisque l'un des héritiers, A.________, fille du</w:t>
      </w:r>
    </w:p>
    <w:p>
      <w:r>
        <w:t>de cujus , avait prélevé la somme de 11'580 fr. sur un compte bancaire du défunt avant que ce compte ne soit soldé le 12 juin 2017, à savoir avant l'expiration du délai de trois mois prévu à l' art. 567 al. 2 CC pour répudier la succession. Par arrêt du 2 août 2018, la Cour de justice du canton de Genève a déclaré irrecevable le recours de l'héritière.</w:t>
      </w:r>
    </w:p>
    <w:p>
      <w:r>
        <w:rPr>
          <w:b/>
        </w:rPr>
        <w:t>E. 2</w:t>
      </w:r>
    </w:p>
    <w:p>
      <w:r>
        <w:t>Par acte expédié le 3 septembre 2018, A.________ exerce un recours au Tribunal fédéral.</w:t>
      </w:r>
    </w:p>
    <w:p>
      <w:r>
        <w:t>Des observations n'ont pas été requises.</w:t>
      </w:r>
    </w:p>
    <w:p>
      <w:r>
        <w:rPr>
          <w:b/>
        </w:rPr>
        <w:t>E. 3</w:t>
      </w:r>
    </w:p>
    <w:p>
      <w:r>
        <w:t>Comme l'a relevé la juridiction cantonale, le présent litige - qui est de nature pécuniaire ( ATF 119 II 281 consid. 5b) - n'atteint pas la valeur litigieuse minimale prescrite par la loi ( art. 74 al. 1 let. b LTF ); l'écriture de la recourante doit, en conséquence, être traitée en tant que recours constitutionnel subsidiaire au sens des art. 113 ss LTF . Au demeurant, cette qualification est dénuée d'incidence sur le sort du recours.</w:t>
      </w:r>
    </w:p>
    <w:p>
      <w:r>
        <w:rPr>
          <w:b/>
        </w:rPr>
        <w:t>E. 4.1</w:t>
      </w:r>
    </w:p>
    <w:p>
      <w:r>
        <w:t>Le recours est d'emblée irrecevable en tant qu'il remet en cause le jugement du 16 novembre 2017 (</w:t>
      </w:r>
    </w:p>
    <w:p>
      <w:r>
        <w:t>cf .</w:t>
      </w:r>
    </w:p>
    <w:p>
      <w:r>
        <w:t>supra , consid. 1), qui a reproché à la recourante une immixtion dans la succession paternelle à la suite du prélèvement sur le compte du</w:t>
      </w:r>
    </w:p>
    <w:p>
      <w:r>
        <w:t>de cujus (</w:t>
      </w:r>
    </w:p>
    <w:p>
      <w:r>
        <w:t>cf . art. 571 al. 2 CC ). En effet, le recours au Tribunal fédéral ne peut avoir pour objet qu'une décision rendue en dernière instance cantonale ( art. 75 al. 1 LTF ).</w:t>
      </w:r>
    </w:p>
    <w:p>
      <w:r>
        <w:rPr>
          <w:b/>
        </w:rPr>
        <w:t>E. 4.2</w:t>
      </w:r>
    </w:p>
    <w:p>
      <w:r>
        <w:t>Pour le surplus, la recourante n'expose nullement en quoi le motif d'irrecevabilité admis par la juridiction précédente (</w:t>
      </w:r>
    </w:p>
    <w:p>
      <w:r>
        <w:t>i.e. non-respect des exigences de motivation prévues par l' art. 321 al. 1 CPC ) violerait ses droits constitutionnels ( art. 106 al. 2 et art. 117 LTF ; ATF 133 III 439 consid. 3.2, avec les citations).</w:t>
      </w:r>
    </w:p>
    <w:p>
      <w:r>
        <w:rPr>
          <w:b/>
        </w:rPr>
        <w:t>E. 5</w:t>
      </w:r>
    </w:p>
    <w:p>
      <w:r>
        <w:t>Vu ce qui précède, le présent recours doit être déclaré irrecevable par voie de procédure simplifiée ( art. 108 al. 1 let . bet art. 117 LTF ), aux frais de la recourante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