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5A_717/2022 vom 26. September 2022</w:t>
      </w:r>
    </w:p>
    <w:p>
      <w:r>
        <w:t>Bundesgericht, 2022-09-26, DE</w:t>
      </w:r>
    </w:p>
    <w:p>
      <w:r>
        <w:rPr>
          <w:b/>
        </w:rPr>
        <w:t xml:space="preserve">Quelle: </w:t>
      </w:r>
      <w:r>
        <w:t>https://mcp.opencaselaw.ch/entscheid/bger_5A_717_2022</w:t>
      </w:r>
    </w:p>
    <w:p>
      <w:r>
        <w:t>FR: TF 5A_717/2022 du 26 septembre 2022</w:t>
      </w:r>
    </w:p>
    <w:p>
      <w:r>
        <w:t>IT: TF 5A_717/2022 del 26 settembre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appellatorische Kritik am Sachverhalt nicht eintritt ( BGE 140 III 264 E. 2.3; 141 IV 249 E. 1.3.1).</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t>Sodann hat die Beschwerde ein Begehren zu enthalten ( Art. 42 Abs. 1 BGG ), welches bei Geldforderungen beziffert sein muss ( BGE 134 III 235 E. 2; 143 III 111 E. 1.2), da es sich bei der Beschwerde in Zivilsachen um ein reformatorisches Rechtsmittel handelt ( Art. 107 Abs. 1 BGG ). Das Bezifferungsgebot gilt insbesondere auch bei Unterhaltsbegehren, und zwar unbekümmert um die Offizial- und Untersuchungsmaxime bei Kindesunterhalt bereits im kantonalen Verfahren ( BGE 137 III 617 E. 4.5 bzw. E. 5).</w:t>
      </w:r>
    </w:p>
    <w:p>
      <w:r>
        <w:rPr>
          <w:b/>
        </w:rPr>
        <w:t>E. 2</w:t>
      </w:r>
    </w:p>
    <w:p>
      <w:r>
        <w:t>Der Beschwerdeführer bringt vor, die Krankenkassenprämien betrügen Fr. 366.-- und nicht Fr. 336.-- und es bestehe auch eine Zahnversicherung für Fr. 22.--; sodann sei das Autoleasing nicht berücksichtigt worden und er müsse zur Ausübung des Besuchsrechts jeden Monat 700 km fahren, wobei der Diesel Fr. 2.40 pro Liter koste. Er verlangt eine Korrektur dieser Punkte, da er ansonsten seinen Job kündigen müsse.</w:t>
      </w:r>
    </w:p>
    <w:p>
      <w:r>
        <w:t>Die vom Beschwerdeführer vorgetragenen Behauptungen betreffen den Sachverhalt. Diesbezüglich wären nach dem in E. 1 Gesagten substanziierte Willkürrügen zu erheben, welche nicht auszumachen sind. Sodann wären konkrete Rechtsbegehren zu stellen und diese auch zu beziffern; der Beschwerdeführer kann sich nicht darauf beschränken, vom Bundesgericht eine korrigierte Rechnung zu verlangen.</w:t>
      </w:r>
    </w:p>
    <w:p>
      <w:r>
        <w:rPr>
          <w:b/>
        </w:rPr>
        <w:t>E. 3</w:t>
      </w:r>
    </w:p>
    <w:p>
      <w:r>
        <w:t>Wie E. 2 zeigt,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