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5A_716/2024 vom 30. Oktober 2024</w:t>
      </w:r>
    </w:p>
    <w:p>
      <w:r>
        <w:t>Bundesgericht, 2024-10-30, DE</w:t>
      </w:r>
    </w:p>
    <w:p>
      <w:r>
        <w:rPr>
          <w:b/>
        </w:rPr>
        <w:t xml:space="preserve">Quelle: </w:t>
      </w:r>
      <w:r>
        <w:t>https://mcp.opencaselaw.ch/entscheid/bger_5A_716_2024</w:t>
      </w:r>
    </w:p>
    <w:p>
      <w:r>
        <w:t>FR: TF 5A_716/2024 du 30 octobre 2024</w:t>
      </w:r>
    </w:p>
    <w:p>
      <w:r>
        <w:t>IT: TF 5A_716/2024 del 30 ottobre 2024</w:t>
      </w:r>
    </w:p>
    <w:p>
      <w:pPr>
        <w:pStyle w:val="Heading2"/>
      </w:pPr>
      <w:r>
        <w:t>Erwägungen</w:t>
      </w:r>
    </w:p>
    <w:p>
      <w:r>
        <w:rPr>
          <w:b/>
        </w:rPr>
        <w:t>E. 1</w:t>
      </w:r>
    </w:p>
    <w:p>
      <w:r>
        <w:t>Am 10. Juni 2024 erhob der Beschwerdeführer beim Bezirksgericht Meilen Beschwerde gegen einen Vorführbefehl. Das Bezirksgericht wies die Beschwerde mit Urteil vom 6. August 2024 ab.</w:t>
      </w:r>
    </w:p>
    <w:p>
      <w:r>
        <w:t>Dagegen erhob der Beschwerdeführer mit Eingabe vom 26. August 2024 Beschwerde beim Obergericht des Kantons Zürich. Mit Beschluss vom 1. Oktober 2024 trat das Obergericht auf die Beschwerde mangels genügender Begründung nicht ein.</w:t>
      </w:r>
    </w:p>
    <w:p>
      <w:r>
        <w:t>Dagegen hat der Beschwerdeführer am 21. Oktober 2024 Beschwerde an das Bundesgericht erhoben.</w:t>
      </w:r>
    </w:p>
    <w:p>
      <w:r>
        <w:rPr>
          <w:b/>
        </w:rPr>
        <w:t>E. 2</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macht geltend, das Obergericht habe sich nicht substantiell mit seinen Argumenten auseinandergesetzt. Der Rechtsschutz sei ihm verweigert worden. Er beruft sich auf Art. 29a BV und Art. 6 Ziff. 1 EMRK . Bei all dem zeigt er jedoch nicht unter präzisen Hinweisen auf seine Beschwerde an das Obergericht auf, weshalb diese den Begründungsanforderungen genügt hätte, und er legt nicht dar, dass das Obergericht überspannte Anforderungen an die Begründung gestellt hätte. Nicht Thema des bundesgerichtlichen Verfahrens sind der Vorführbefehl und das Urteil des Bezirksgerichts sowie angeblich gegen den Beschwerdeführer ergriffene Zwangsmassnahmen (Hausdurchsuchung, Sicherstellung elektronischer Geräte). Auf die diesbezüglichen Ausführungen ist nicht einzugehen.</w:t>
      </w:r>
    </w:p>
    <w:p>
      <w:r>
        <w:t>Die Beschwerde enthält offensichtlich keine hinreichende Begründung. Der Abteilungspräsident tritt auf sie im vereinfachten Verfahren nicht ein ( Art. 108 Abs. 1 lit.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