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716/2011 vom 29. November 2011</w:t>
      </w:r>
    </w:p>
    <w:p>
      <w:r>
        <w:t>Bundesgericht, 2011-11-29, FR</w:t>
      </w:r>
    </w:p>
    <w:p>
      <w:r>
        <w:rPr>
          <w:b/>
        </w:rPr>
        <w:t xml:space="preserve">Quelle: </w:t>
      </w:r>
      <w:r>
        <w:t>https://mcp.opencaselaw.ch/entscheid/bger_5A_716_2011</w:t>
      </w:r>
    </w:p>
    <w:p>
      <w:r>
        <w:t>FR: TF 5A 716/2011 du 29 novembre 2011</w:t>
      </w:r>
    </w:p>
    <w:p>
      <w:r>
        <w:t>IT: TF 5A 716/2011 del 29 novembre 2011</w:t>
      </w:r>
    </w:p>
    <w:p>
      <w:pPr>
        <w:pStyle w:val="Heading2"/>
      </w:pPr>
      <w:r>
        <w:t>Regeste</w:t>
      </w:r>
    </w:p>
    <w:p>
      <w:r>
        <w:t>privation de liberté à des fins d'assistance | Droit de la famille</w:t>
      </w:r>
    </w:p>
    <w:p>
      <w:pPr>
        <w:pStyle w:val="Heading2"/>
      </w:pPr>
      <w:r>
        <w:t>Erwägungen</w:t>
      </w:r>
    </w:p>
    <w:p>
      <w:r>
        <w:rPr>
          <w:b/>
        </w:rPr>
        <w:t>E. 1</w:t>
      </w:r>
    </w:p>
    <w:p>
      <w:r>
        <w:t>Interjeté en temps utile ( art. 100 al. 1 LTF ) et en la forme requise ( art. 42 LTF ) contre une décision finale ( art. 90 LTF ) prise sur recours par l'autorité cantonale de dernière instance ( art. 75 LTF ) en matière de privation de liberté à des fins d'assistance (art. 72 al. 2 let. b ch. 6 LTF), le recours est recevable au regard de ces dispositions. Le recourant a en outre qualité pour recourir ( art. 76 LTF ).</w:t>
      </w:r>
    </w:p>
    <w:p>
      <w:r>
        <w:rPr>
          <w:b/>
        </w:rPr>
        <w:t>E. 2</w:t>
      </w:r>
    </w:p>
    <w:p>
      <w:r>
        <w:t>Le recourant invoque en premier lieu le grief d'arbitraire, qu'il ne développe toutefois qu'en opérant quelques considérations théoriques sur cette notion, en sorte que le moyen est insuffisamment motivé ( art. 106 al. 2 LTF ) et, partant, irrecevable.</w:t>
      </w:r>
    </w:p>
    <w:p>
      <w:r>
        <w:rPr>
          <w:b/>
        </w:rPr>
        <w:t>E. 3</w:t>
      </w:r>
    </w:p>
    <w:p>
      <w:r>
        <w:t>Le recourant se plaint par ailleurs d'une violation de l' art. 397e ch. 5 CC , en relation avec les art. 171 à 176 CPC, au motif que la décision serait intervenue sans le concours d'experts. Il expose que les décisions de la Commission de surveillance du type de celles rendues les 30 août et 6 septembre 2011 ne comportent ni rapport écrit, ni procès-verbal d'audience, et ne sont donc pas suffisamment motivées pour permettre à l'Autorité de recours de statuer sans nouvelle expertise. Un médecin a certes été entendu comme témoin au cours de l'audience tenue par cette autorité le 14 septembre 2011. Toutefois, il est apparu qu'il ne s'agissait pas du Dr A.________, comme mentionné par erreur sur le procès-verbal. Selon le recourant, la personne qui s'est présentée n'a pas été exhortée à répondre conformément à la vérité, n'a pas eu connaissance du procès-verbal et ne l'a pas signé, omettant ainsi d'authentifier ses déclarations; elle a en outre été entendue en dehors de sa présence. Compte tenu de ces violations manifestes de la procédure civile, la procédure d'instruction devant l'Autorité de recours serait ainsi entachée de nullité. Le recourant se plaint aussi à cet égard d'une violation de son droit d'être entendu ( art. 29 Cst. ).</w:t>
      </w:r>
    </w:p>
    <w:p>
      <w:r>
        <w:rPr>
          <w:b/>
        </w:rPr>
        <w:t>E. 3.1.1</w:t>
      </w:r>
    </w:p>
    <w:p>
      <w:r>
        <w:t>Il est pour le moins douteux que les dispositions du CPC s'appliquent à la procédure devant la Cour de justice statuant, comme ici, en tant qu'Autorité de recours contre les décisions de la Commission de surveillance, en application de l'art. 30 de la Loi sur la commission de surveillance des professions de la santé et des droits des patients (LComPS; RSG K 3 03; voir consid. 3.3 de l'arrêt 5A_582/2011 du 3 novembre 2011, destiné à la publication). La question peut toutefois demeurer indécise, car le recours doit de toute manière être rejeté pour les motifs exposés ci-après.</w:t>
      </w:r>
    </w:p>
    <w:p>
      <w:r>
        <w:rPr>
          <w:b/>
        </w:rPr>
        <w:t>E. 3.1.2</w:t>
      </w:r>
    </w:p>
    <w:p>
      <w:r>
        <w:t>Aux termes de l' art. 397e ch. 5 CC , une décision touchant un malade psychique ne peut être prise qu'avec le concours d'experts; si ce concours a déjà été demandé dans une première procédure judiciaire, les tribunaux supérieurs peuvent y renoncer. Le recours à un expert est ainsi indispensable ( ATF 137 III 289 consid. 4.2). Celui-ci doit être un spécialiste et être exempt de prévention: il ne doit donc pas s'être déjà prononcé sur la maladie de la personne concernée au cours de la même procédure, ni avoir déjà traité celle-ci. L'exigence d'indépendance de l'expert est identique à celle de l'autorité qui statue. Cette condition, posée par la loi, n'est pas respectée lorsque l'expert est le médecin chef de la clinique dans laquelle est soigné le patient ( ATF 134 III 289 consid. 3 et les références citées). Selon la jurisprudence de la Cour européenne des droits de l'homme, il n'est pas non plus compatible avec l'exigence d'indépendance de l'expert qu'un membre de l'autorité compétente pour prendre la décision (juge spécialisé) fonctionne en même temps comme expert ( ATF 137 III 289 consid. 4.4 et la jurisprudence citée, notamment l'arrêt N.D contre Suisse du 29 mars 2001, Recueil CourEDH 2001-III p. 21 § 53).</w:t>
      </w:r>
    </w:p>
    <w:p>
      <w:r>
        <w:rPr>
          <w:b/>
        </w:rPr>
        <w:t>E. 3.2</w:t>
      </w:r>
    </w:p>
    <w:p>
      <w:r>
        <w:t>Il ressort de la décision attaquée et des pièces du dossier qu'au cours de l'audience tenue le 14 septembre 2011 par l'autorité cantonale, c'est le Dr B.________, chef de clinique remplaçant le Dr C.________, et non le Dr A.________, qui a été entendu. Dans la mesure où le recourant allègue que le nom de ce témoin est indiqué de façon erronée dans le procès-verbal d'audience, sa critique n'apparaît pas décisive. Pour le surplus, il ressort dudit procès-verbal que son avocate a assisté à l'audition du médecin concerné. Il appert en outre qu'elle l'a interrogé, si ce n'est au sujet de son identité, du moins à propos de sa fonction, puisqu'il appert qu'en réponse à ses questions, ledit médecin a précisé que «le chef de clinique responsable de l'unité [était] le Dr C._________, et qu'il [était] en charge du dossier [...] depuis jeudi dernier jusqu'à la fin de cette semaine en raison de l'absence de ce médecin». Il convient de relever le manque de clarté de la décision attaquée, qui se limite à considérer qu'il est nécessaire pour le patient de continuer à être soigné en milieu hospitalier «conformément à l'avis des professionnels» sans autre précision à cet égard. Il résulte en outre du procès-verbal d'audience du 14 septembre 2011 que le médecin qui a été entendu par l'autorité cantonale était en charge du dossier du recourant en l'absence du chef de clinique responsable, ce qui pose problème quant à l'exigence d'indépendance de l'expert selon l' art. 397e ch. 5 CC (cf. supra, consid. 3.1.2). Quoi qu'il en soit, le recourant se contente de se plaindre, en substance, d'une violation manifeste des règles de procédure civile s'agissant du déroulement de l'audience tenue le 14 septembre 2011 et, en particulier, de l'audition du Dr B.________ par l'Autorité de recours. A cet égard, il convient de rappeler qu'en vertu du principe de la bonne foi, celui qui ne soulève pas d'emblée un grief lié à la conduite de la procédure ne peut en principe plus s'en prévaloir devant le Tribunal fédéral; une solution contraire favoriserait les manoeuvres dilatoires ( ATF 133 III 638 consid. 2; 119 Ia 88 consid. 1a; 117 Ia 491 consid. 2a, 522 consid. 3a). En l'occurrence, le recourant ne prétend pas que son conseil, qui a assisté à l'audition du médecin concerné et lui a même posé des questions, aurait été empêché de relever les irrégularités de procédure invoquées dans le présent recours et, en particulier, de demander des précisions sur les fonctions du Dr B.________, voire de le récuser ( ATF 134 III 289 consid. 3 non publié). Autant qu'ils sont suffisamment motivés, ses griefs ne sauraient dès lors être admis. On ne voit par conséquent pas non plus en quoi son droit d'être entendu aurait été violé.</w:t>
      </w:r>
    </w:p>
    <w:p>
      <w:r>
        <w:rPr>
          <w:b/>
        </w:rPr>
        <w:t>E. 4</w:t>
      </w:r>
    </w:p>
    <w:p>
      <w:r>
        <w:t>Vu ce qui précède, le recours apparaît infondé et ne peut donc être que rejeté, dans la mesure de sa recevabilité. Il en va de même de la requête d'assistance judiciaire du recourant pour la procédure fédérale, dès lors que son recours apparaissait d'emblée dénué de chances de succès ( art. 64 LTF ). Il se justifie cependant, dans les circonstances données, de renoncer à percevoir un émolument judiciaire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