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5A_715/2020 vom 28. September 2020</w:t>
      </w:r>
    </w:p>
    <w:p>
      <w:r>
        <w:t>Bundesgericht, 2020-09-28, DE</w:t>
      </w:r>
    </w:p>
    <w:p>
      <w:r>
        <w:rPr>
          <w:b/>
        </w:rPr>
        <w:t xml:space="preserve">Quelle: </w:t>
      </w:r>
      <w:r>
        <w:t>https://mcp.opencaselaw.ch/entscheid/bger_5A_715_2020</w:t>
      </w:r>
    </w:p>
    <w:p>
      <w:r>
        <w:t>FR: TF 5A_715/2020 du 28 septembre 2020</w:t>
      </w:r>
    </w:p>
    <w:p>
      <w:r>
        <w:t>IT: TF 5A_715/2020 del 28 settembre 2020</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2</w:t>
      </w:r>
    </w:p>
    <w:p>
      <w:r>
        <w:t>In der Sache dreht sich der Streit vor der KESB Thal-Gäu/Dorneck-Thierstein um den Entzug bzw. die neue Regelung des Aufenthaltsbestimmungsrechts über die Kinder C.A.________ und D.A.________. Das ist eine öffentlich-rechtliche Angelegenheit, die in unmittelbarem Zusammenhang mit Zivilrecht steht (Art. 72 Abs. 2 Bst. b Ziff. 6 BGG) und keinen Vermögenswert hat. Das Verwaltungsgericht ist ein oberes Gericht und hat auf Rechtsmittel hin als letzte kantonale Instanz entschieden ( Art. 75 BGG ). Die Beschwerdeführerin hat am vorinstanzlichen Verfahren teilgenommen und ein schützenswertes Interesse an der Aufhebung oder Abänderung des angefochtenen Urteils ( Art. 76 Abs. 1 BGG ). Von daher stünde die rechtzeitig (Art. 100 Abs. 1 i.V.m. Art. 46 Abs. 1 Bst. b BGG) eingereichte Beschwerde an sich offen.</w:t>
      </w:r>
    </w:p>
    <w:p>
      <w:r>
        <w:rPr>
          <w:b/>
        </w:rPr>
        <w:t>E. 3.1</w:t>
      </w:r>
    </w:p>
    <w:p>
      <w:r>
        <w:t>Das Urteil des Verwaltungsgerichts hat die Beschwerde gegen den Entscheid zum Gegenstand, mit dem die KESB Thal-Gäu/Dorneck-Thierstein im Rahmen der Prüfung von Kindesschutzmassnahmen ein Gutachten in Auftrag gibt (s. Sachverhalt Bst. A.d). Das Kindesschutzverfahren vor der KESB Thal-Gäu/Dorneck-Thierstein dauert also noch an und der angefochtene Entscheid beschlägt einen prozessleitenden Zwischenentscheid über die Anordnung einer Expertise (vgl. Urteil 4A_530/2009 vom 2. November 2009). Daran ändert auch der Umstand nichts, dass das Verwaltungsgericht auf das kantonale Rechtsmittel der Beschwerdeführerin nicht eintritt.</w:t>
      </w:r>
    </w:p>
    <w:p>
      <w:r>
        <w:rPr>
          <w:b/>
        </w:rPr>
        <w:t>E. 3.2</w:t>
      </w:r>
    </w:p>
    <w:p>
      <w:r>
        <w:t>Gemäss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S. 329; 134 III 426 E. 1.2 S. 429), es sei denn, deren Vorliegen springe geradezu in die Augen ( BGE 141 III 80 E. 1.2 S. 81; 138 III 46 E. 1.2 S. 47). Äussert sich die Beschwerde führende Partei überhaupt nicht dazu, weshalb ein selbständig anfechtbarer Zwischenentscheid im Sinne von Art. 93 Abs. 1 BGG vorliegt, übersieht sie mithin diese Eintretensfrage schlechthin, so kann das Bundesgericht von vornherein nicht auf die Beschwerde eintreten (Urteile 5A_70/2020 vom 18. Juni 2020 E. 3.2; 5A_752/2015 vom 9. März 2016 E. 3; 5D_111/2015 vom 6. Oktober 2015 E. 2.2; 5A_620/2011 vom 16. November 2011 E. 3.2 mit Hinweisen). Hier behauptet die Beschwerdeführerin an keiner Stelle ihrer Beschwerdeschrift, dass der angefochtene Entscheid einen nicht wieder gutzumachenden Nachteil bewirken könne oder die Gutheissung ihrer Beschwerde sofort einen Endentscheid herbeiführen und damit einen bedeutenden Aufwand an Zeit und Kosten für ein weitläufiges Beweisverfahren ersparen würde. Dementsprechend ist auf die offensichtlich unzulässige Beschwerde im vereinfachten Verfahren nach Art. 108 Abs. 1 Bst. a BGG nicht einzutreten.</w:t>
      </w:r>
    </w:p>
    <w:p>
      <w:r>
        <w:rPr>
          <w:b/>
        </w:rPr>
        <w:t>E. 4</w:t>
      </w:r>
    </w:p>
    <w:p>
      <w:r>
        <w:t>Dem Ausgang des Verfahrens entsprechend hat die Beschwerdeführerin die Kosten zu tragen ( Art. 66 Abs. 1 Satz 1 BGG ). Dem Beschwerdegegner ist kein entschädigungspflichtiger Aufwand entstanden. Das Gesuch der Beschwerdeführerin um unentgeltliche Rechtspflege für das hiesige Verfahren ist abzuweisen. Wie die vorigen Erwägungen zeigen, muss das vor Bundesgericht gestellte Rechtsbegehren als von Anfang aussichtslos gelten, so dass es an einer materiellen Anspruchsvoraussetzung mangelt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