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5A_713/2018 vom 23. Januar 2019</w:t>
      </w:r>
    </w:p>
    <w:p>
      <w:r>
        <w:t>Bundesgericht, 2019-01-23, FR</w:t>
      </w:r>
    </w:p>
    <w:p>
      <w:r>
        <w:rPr>
          <w:b/>
        </w:rPr>
        <w:t xml:space="preserve">Quelle: </w:t>
      </w:r>
      <w:r>
        <w:t>https://mcp.opencaselaw.ch/entscheid/bger_5A_713_2018</w:t>
      </w:r>
    </w:p>
    <w:p>
      <w:r>
        <w:t>FR: TF 5A_713/2018 du 23 janvier 2019</w:t>
      </w:r>
    </w:p>
    <w:p>
      <w:r>
        <w:t>IT: TF 5A_713/2018 del 23 gennaio 2019</w:t>
      </w:r>
    </w:p>
    <w:p>
      <w:pPr>
        <w:pStyle w:val="Heading2"/>
      </w:pPr>
      <w:r>
        <w:t>Erwägungen</w:t>
      </w:r>
    </w:p>
    <w:p>
      <w:r>
        <w:rPr>
          <w:b/>
        </w:rPr>
        <w:t>E. 1.1</w:t>
      </w:r>
    </w:p>
    <w:p>
      <w:r>
        <w:t>Le présent recours a été déposé dans le délai légal ( art. 100 al. 2 let. a LTF ) contre une décision finale ( art. 90 LTF ;</w:t>
      </w:r>
    </w:p>
    <w:p>
      <w:r>
        <w:t>cf . ATF 133 III 350 consid. 1.2) rendue en matière de poursuite pour dettes ( art. 72 al. 2 let. a LTF ) par une autorité cantonale de surveillance ayant statué en dernière (unique) instance ( art. 75 al. 1 LTF ). Il est recevable quelle que soit la valeur litigieuse ( art. 74 al. 2 let . c LTF). Le poursuivi, qui a pris part à la procédure devant l'autorité précédente et possède un intérêt digne de protection à la modification de la décision attaquée, a qualité pour recourir ( art. 76 al. 1 LTF ).</w:t>
      </w:r>
    </w:p>
    <w:p>
      <w:r>
        <w:rPr>
          <w:b/>
        </w:rPr>
        <w:t>E. 1.2</w:t>
      </w:r>
    </w:p>
    <w:p>
      <w:r>
        <w:t>L'avis de saisie ( art. 90 LTF ) constitue une décision susceptible de plainte selon l' art. 17 LP (arrêt 5A_17/2018 du 4 juillet 2018 consid. 2.1 et les références), en sorte que le présent recours est recevable de ce chef (</w:t>
      </w:r>
    </w:p>
    <w:p>
      <w:r>
        <w:t>cf . sur cette condition: ATF 142 III 643 consid. 3.1).</w:t>
      </w:r>
    </w:p>
    <w:p>
      <w:r>
        <w:rPr>
          <w:b/>
        </w:rPr>
        <w:t>E. 2.1</w:t>
      </w:r>
    </w:p>
    <w:p>
      <w:r>
        <w:t>En bref, l'autorité cantonale a considéré que la plainte était tardive au regard de l' art. 17 al. 2 LP , puisque le poursuivi a eu connaissance en automne 2017 déjà du refus de l'Office d'enregistrer son opposition à la prétention en poursuite et il ne l'a pas interpellé pour connaître les motifs du non-enregistrement de son opposition. Il n'a pas davantage porté plainte après que le Tribunal de première instance, par jugement du 4 décembre 2017, eut déclaré irrecevable son opposition pour non-retour à meilleure fortune. En attendant jusqu'au 9 mars 2018 pour se plaindre du refus de l'Office d'enregistrer son opposition à la créance, "</w:t>
      </w:r>
    </w:p>
    <w:p>
      <w:r>
        <w:t>le plaignant n'a donc pas respecté le délai légal de dix jours ".</w:t>
      </w:r>
    </w:p>
    <w:p>
      <w:r>
        <w:rPr>
          <w:b/>
        </w:rPr>
        <w:t>E. 2.2</w:t>
      </w:r>
    </w:p>
    <w:p>
      <w:r>
        <w:t>Cette argumentation ne peut être suivie. D'après la jurisprudence, un acte de poursuite exécuté en dépit d'une opposition est</w:t>
      </w:r>
    </w:p>
    <w:p>
      <w:r>
        <w:t>nul au sens de l' art. 22 al. 1 LP (LORANDI, Betreibungsrechtliche Beschwerde und Nichtigkeit, 2000, n° 28 ad art. 22 LP et les arrêts cités); faute d'être fondé sur un commandement de payer exécutoire, un tel acte "</w:t>
      </w:r>
    </w:p>
    <w:p>
      <w:r>
        <w:t>heurte les principes fondamentaux de la poursuite pour dettes " ( ATF 109 III 53 consid. 2b). Or, comme l'expose avec raison le recourant, l'autorité de surveillance doit constater la nullité d'un acte de poursuite même si la plainte est tardive (parmi d'autres: LORANDI,</w:t>
      </w:r>
    </w:p>
    <w:p>
      <w:r>
        <w:t>op .</w:t>
      </w:r>
    </w:p>
    <w:p>
      <w:r>
        <w:t>cit ., n° 272 ad art. 17 et n° 129 ad art. 22 LP , avec les citations). Il incombait dès lors à la cour cantonale d'examiner la question de la portée de l'opposition formée le 16 août 2017, d'autant que l'intéressé a explicitement invoqué dans sa plainte la nullité de l'avis de saisie, notifié "</w:t>
      </w:r>
    </w:p>
    <w:p>
      <w:r>
        <w:t>alors même qu'opposition a été faite à la créance et n'a pas été écartée " (</w:t>
      </w:r>
    </w:p>
    <w:p>
      <w:r>
        <w:t>p. 6, ch. 33 ); cet examen fait défaut en l'occurrence, les juges précédents ayant focalisé tout leur raisonnement sur le "</w:t>
      </w:r>
    </w:p>
    <w:p>
      <w:r>
        <w:t>non-enregistrement " par l'Office de l'opposition à la créance en poursuite. Enfin, peu importe de savoir si l'opposition se rapportait ou non</w:t>
      </w:r>
    </w:p>
    <w:p>
      <w:r>
        <w:t>aussi au retour à meilleure fortune. Il est vrai qu'une telle opposition n'est pas ouverte lorsque la créance est constatée par un acte de défaut de biens</w:t>
      </w:r>
    </w:p>
    <w:p>
      <w:r>
        <w:t>après saisie (arrêt 5A_167/2010 du 27 avril 2010 consid. 2.1 et les références), mais cette problématique ressortit à la compétence exclusive du juge ( ATF 130 III 678 consid. 2.1; 124 III 379 consid. 3b, avec les citations); cela ne dispense pas l'autorité de surveillance de rechercher si, au-delà des termes utilisés, l'opposition ne se réfère pas</w:t>
      </w:r>
    </w:p>
    <w:p>
      <w:r>
        <w:t>pour le moins à la créance.</w:t>
      </w:r>
    </w:p>
    <w:p>
      <w:r>
        <w:rPr>
          <w:b/>
        </w:rPr>
        <w:t>E. 2.3</w:t>
      </w:r>
    </w:p>
    <w:p>
      <w:r>
        <w:t>L'autorité précédente n'étant pas entrée en matière sur la plainte, il y a lieu de lui renvoyer l'affaire afin de ne pas frustrer les parties d'un degré de juridiction sur l'application de la question litigieuse ( ATF 144 II 184 consid. 1.1; 138 III 46 consid. 1.2 et la jurisprudence citée).</w:t>
      </w:r>
    </w:p>
    <w:p>
      <w:r>
        <w:t>A toutes fins utiles, il convient néanmoins de préciser que le recourant ne saurait tirer avantage du principe "</w:t>
      </w:r>
    </w:p>
    <w:p>
      <w:r>
        <w:t>in dubio pro debitore ". Certes, le Tribunal fédéral s'est longtemps fondé sur ce principe pour interpréter la déclaration d'opposition (</w:t>
      </w:r>
    </w:p>
    <w:p>
      <w:r>
        <w:t>cf . arrêt 5A_846/2012 du 4 novembre 2013 consid. 6.2.1 et les arrêts cités,</w:t>
      </w:r>
    </w:p>
    <w:p>
      <w:r>
        <w:t>in SJ 2014 I 109); récemment, il s'est cependant écarté de cette pratique, retenant que l'interprétation devait s'effectuer conformément au principe de la confiance ( ATF 140 III 567 consid. 2.3; arrêt 5A_351/2016 du 19 juillet 2016 consid. 8).</w:t>
      </w:r>
    </w:p>
    <w:p>
      <w:r>
        <w:rPr>
          <w:b/>
        </w:rPr>
        <w:t>E. 3</w:t>
      </w:r>
    </w:p>
    <w:p>
      <w:r>
        <w:t>En conclusion, le présent recours doit être admis, la décision attaquée annulée et l'affaire renvoyée à l'autorité précédente pour qu'elle statue à nouveau dans le sens des considérants ( art. 107 al. 2 LTF ).</w:t>
      </w:r>
    </w:p>
    <w:p>
      <w:r>
        <w:t>L'intimée succombe entièrement ( ATF 141 V 281 consid. 11.1; 127 V 210 consid. 7.1 et les références), en sorte qu'il y a lieu de mettre à sa charge les frais et dépens de la procédure fédérale (art. 66 al. 1 et 68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