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5A_712/2007 vom 11. März 2008</w:t>
      </w:r>
    </w:p>
    <w:p>
      <w:r>
        <w:t>Bundesgericht, 2008-03-11, FR</w:t>
      </w:r>
    </w:p>
    <w:p>
      <w:r>
        <w:rPr>
          <w:b/>
        </w:rPr>
        <w:t xml:space="preserve">Quelle: </w:t>
      </w:r>
      <w:r>
        <w:t>https://mcp.opencaselaw.ch/entscheid/bger_5A_712_2007</w:t>
      </w:r>
    </w:p>
    <w:p>
      <w:r>
        <w:t>FR: TF 5A_712/2007 du 11 mars 2008</w:t>
      </w:r>
    </w:p>
    <w:p>
      <w:r>
        <w:t>IT: TF 5A_712/2007 del 11 marzo 2008</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et ce indépendamment de la valeur litigieuse ( art. 74 al. 2 let . c LTF).</w:t>
      </w:r>
    </w:p>
    <w:p>
      <w:r>
        <w:rPr>
          <w:b/>
        </w:rPr>
        <w:t>E. 2</w:t>
      </w:r>
    </w:p>
    <w:p>
      <w:r>
        <w:t>Le recourant présente sa propre version des faits, qui diverge de celle de l'autorité précédente, concernant "le fonds de l'existence de la créance", "le calcul du montant saisissable" et "la nature des frais qui sont insaisissables".</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w:t>
      </w:r>
    </w:p>
    <w:p>
      <w:r>
        <w:t>En l'espèce, à défaut d'un tel exposé, le Tribunal fédéral s'en tient aux faits constatés par l'autorité cantonale supérieure de surveillance en ce qui concerne le calcul du montant saisissable.</w:t>
      </w:r>
    </w:p>
    <w:p>
      <w:r>
        <w:rPr>
          <w:b/>
        </w:rPr>
        <w:t>E. 2.2</w:t>
      </w:r>
    </w:p>
    <w:p>
      <w:r>
        <w:t>Les faits allégués par le recourant relativement au fondement de la créance sont tout simplement dénués de pertinence, car l'autorité précédente n'avait pas à en tenir compte. Selon la jurisprudence, en effet, les contestations entre le créancier et le débiteur ressortissent aux juridictions civiles ou administratives, non aux autorités de poursuite et de surveillance auxquelles il n'incombe pas d'examiner les questions de droit matériel ( ATF 115 III 18 consid. 3b p. 21, 113 III 2 consid. 2b p. 3).</w:t>
      </w:r>
    </w:p>
    <w:p>
      <w:r>
        <w:rPr>
          <w:b/>
        </w:rPr>
        <w:t>E. 2.3</w:t>
      </w:r>
    </w:p>
    <w:p>
      <w:r>
        <w:t>Dès lors que devant lui aucun fait nouveau ni preuve nouvelle ne peut être présenté, à moins de résulter de la décision de l'autorité précédente ( art. 99 al. 1 LTF ), le Tribunal fédéral ne peut prendre en considération la statistique des "logements vacants selon le nombre de pièces, au 1er juin 2006, par commune", produite par le recourant, soit une "autre statistique" que celle utilisée par l'autorité précédente, laquelle portait sur le "loyer mensuel des logements vacants à louer au 1er janvier (recte: juin) 2006, par district".</w:t>
      </w:r>
    </w:p>
    <w:p>
      <w:r>
        <w:rPr>
          <w:b/>
        </w:rPr>
        <w:t>E. 3</w:t>
      </w:r>
    </w:p>
    <w:p>
      <w:r>
        <w:t>L' art. 93 al. 1 LP prévoit que les biens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(arrêt 5A_654/2007 du 4 mars 2008 consid. 2, destiné à la publication, et les références citées).</w:t>
      </w:r>
    </w:p>
    <w:p>
      <w:r>
        <w:t>La détermination du minimum indispensable est une question d'appréciation (P.-R. Gilliéron, Commentaire de la loi fédérale sur la poursuite pour dettes et la faillite, n. 165 ad art. 93 LP et la jurisprudence citée). Dans ce domaine, le Tribunal fédéral n'intervient donc qu'en cas d'abus ou d'excès, par exemple lorsque l'autorité cantonale a retenu des critères inappropriés ou n'a pas tenu compte de circonstances pertinentes ( ATF 132 III 281 consid. 2.1; 130 III 90 consid. 1 et les références). Il revoit en revanche librement les décisions cantonales en tant qu'elles sont contraires à la loi ou se fondent sur une interprétation erronée des notions ou concepts juridiques sur lesquels repose la loi, tels que ceux de revenu relativement saisissable, de saisissabilité, de minimum insaisissable (arrêt 5A_654/2007 déjà cité consid. 2).</w:t>
      </w:r>
    </w:p>
    <w:p>
      <w:r>
        <w:rPr>
          <w:b/>
        </w:rPr>
        <w:t>E. 4</w:t>
      </w:r>
    </w:p>
    <w:p>
      <w:r>
        <w:t>En ce qui concerne ses frais de logement, le recourant soutient que la réduction décidée à ce titre par l'office et confirmée dans l'arrêt attaqué repose sur des données chiffrées invraisemblables, sans lien avec la réalité économique, qu'on ne saurait lui appliquer, en sa qualité de propriétaire, des normes d'insaisissabilité valables pour les locataires et qu'il serait inconstitutionnel de contraindre une personne à habiter dans un lieu où elle ne veut pas vivre sous prétexte que les loyers y sont moins élevés.</w:t>
      </w:r>
    </w:p>
    <w:p>
      <w:r>
        <w:rPr>
          <w:b/>
        </w:rPr>
        <w:t>E. 4.1</w:t>
      </w:r>
    </w:p>
    <w:p>
      <w:r>
        <w:t>Le principe selon lequel le débiteur qui fait l'objet d'une saisie doit restreindre son train de vie et s'en sortir avec le minimum d'existence qui lui est reconnu s'applique aussi aux frais de logement, que le débiteur soit propriétaire ou locataire de son appartement. Les dépenses consenties au titre des frais de logement ne peuvent être prises en considération que si elles correspondent à la situation familiale du débiteur et aux loyers usuels du lieu. Si le débiteur habite sa propre maison, il est tenu compte de ses frais de logement en incluant dans son minimum vital le montant des charges immobilières courantes, lesquelles comprennent les intérêts hypothécaires, les impôts de droit public et les frais d'entretien de la propriété.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 ATF 129 III 526 consid. 2; 114 III 12 consid. 2a p. 14 et la jurisprudence citée dans ces arrêts; Lignes directrices de la Conférence des préposés aux poursuites et faillites de Suisse pour le calcul du minimum d'existence en matière de poursuite [minimum vital] selon l' art. 93 LP (ci-après: lignes directrices), ch. II.1; P.-R. Gilliéron, Commentaire de la loi fédérale sur la poursuite pour dettes et la faillite, n. 107 ad art. 93 LP ; Michel Ochsner, Commentaire romand de la LP, n. 111 ss ad art. 93 LP ).</w:t>
      </w:r>
    </w:p>
    <w:p>
      <w:r>
        <w:rPr>
          <w:b/>
        </w:rPr>
        <w:t>E. 4.2</w:t>
      </w:r>
    </w:p>
    <w:p>
      <w:r>
        <w:t>En l'espèce, il est constant que le recourant, célibataire sans enfant, vivant dans un appartement de 4 ½ pièces dont il est copropriétaire, a été informé, lors de l'exécution de la saisie du 6 janvier 2005, que la déduction de 2'000 fr. à titre de charge de logement était admise pour la période de janvier à septembre 2005, mais qu'ensuite un loyer mensuel de 850 fr. seulement serait pris en compte dans le calcul de son minimum vital. Il a d'ailleurs concédé que ce dernier montant correspondait à celui des intérêts relatifs à sa dette hypothécaire et il n'a pas remis en question sa prise en compte dès octobre 2005. En outre, selon les données de l'Office cantonal de la statistique sur lesquelles s'est fondée l'autorité précédente, le loyer mensuel moyen (sans les charges) des logements vacants à louer au 1er juin 2006 s'élevait, dans le district de Boudry où habite le recourant, à 532 fr. pour un logement d'une pièce et à 760 fr. pour un logement de deux pièces. L'autre statistique invoquée par le recourant, soit celle des logements vacants au 1er juin 2006, outre qu'elle constitue une pièce nouvelle irrecevable (cf. consid. 2.3 ci-dessus), n'est pas pertinente puisque le critère déterminant posé par la jurisprudence est le montant des loyers usuels, et non pas le nombre des logements vacants dans le lieu considéré.</w:t>
      </w:r>
    </w:p>
    <w:p>
      <w:r>
        <w:t>Avec l'autorité précédente, l'on peut retenir que l'office a, conformément à la jurisprudence et aux lignes directrices, laissé au recourant un délai suffisant pour réduire sa charge locative à un montant correspondant à sa situation de famille et aux loyers usuels du lieu et qu'en arrêtant ce montant à 850 fr. par mois, alors que les données statistiques déterminantes faisaient état d'un loyer mensuel moyen, sans les charges, de 532 fr. (logement d'une pièce) et de 760 fr. (logement de deux pièces), il est resté dans le cadre de son pouvoir d'appréciation.</w:t>
      </w:r>
    </w:p>
    <w:p>
      <w:r>
        <w:rPr>
          <w:b/>
        </w:rPr>
        <w:t>E. 4.3</w:t>
      </w:r>
    </w:p>
    <w:p>
      <w:r>
        <w:t>Le recourant prétend par ailleurs que son appartement de 4 ½ pièces lui sert aussi dans son activité professionnelle, qu'il a besoin d'une bibliothèque, d'un ordinateur, de recevoir des clients le soir, le week-end, et que tout cela ne pourrait se faire dans un deux pièces. Outre que cette situation ne ressort pas des constatations de l'autorité précédente et qu'elle n'a donc pas à être prise en considération par le Tribunal fédéral (cf. consid. 2 ci-dessus), le recourant n'établit pas qu'il exercerait son activité professionnelle prioritairement dans son appartement plutôt qu'au siège de la société qui l'emploie et que son appartement serait ainsi indispensable à l'obtention de son revenu. Au demeurant, il n'apparaît pas devoir être contraint de quitter son 4 ½ pièces pour un deux pièces dans la mesure où le loyer admis par l'office, soit 850 fr., correspond au montant des intérêts hypothécaires dus pour son logement actuel, qui n'a donc pas pour lui la valeur locative prétendue de 2'000 fr.</w:t>
      </w:r>
    </w:p>
    <w:p>
      <w:r>
        <w:rPr>
          <w:b/>
        </w:rPr>
        <w:t>E. 5</w:t>
      </w:r>
    </w:p>
    <w:p>
      <w:r>
        <w:t>S'agissant du refus de l'office de prendre en considération les primes relatives aux deux assurances-vie au titre des dépenses professionnelles, le recourant estime qu'il est arbitraire de considérer que les assurances-vie d'un célibataire données en garantie de prêts professionnels ne sont pas des frais professionnels.</w:t>
      </w:r>
    </w:p>
    <w:p>
      <w:r>
        <w:t>Sont généralement considérées comme des dépenses indispensables à l'exercice d'une profession qu'il y a lieu de prendre en compte dans la détermination du minimum vital en vertu de l' art. 93 al. 1 LP , à condition toutefois que l'employeur ne les assume pas directement: le surplus de nourriture pour les travaux difficiles, le travail en équipes et le travail de nuit; les dépenses pour les repas pris hors du domicile; les dépenses supérieures à la moyenne pour l'entretien des vêtements ou de blanchissage; les déplacements jusqu'au lieu de travail (lignes directrices, ch. II.4; Gilliéron, op. cit., n. 108 ad art. 93 LP ; Ochsner, loc. cit., n. 123 ss ad art. 93 LP ), ainsi que, dans le cas du travailleur indépendant, les frais d'acquisition et d'entretien de l'outillage et le loyer professionnel, pour autant qu'ils soient indispensables à l'obtention du revenu (Ochsner, loc. cit., n. 163 ad art. 93 LP ).</w:t>
      </w:r>
    </w:p>
    <w:p>
      <w:r>
        <w:t>Les primes des deux assurances-vie en question, souscrites par le recourant pour garantir des crédits accordés à la société dont il est administrateur, ne rentrent manifestement dans aucune des catégories ci-dessus. Elles devraient d'ailleurs être payées ou remboursées par la société. L'autorité précédente n'est dès lors pas tombée dans l'arbitraire en retenant qu'elles ne constituaient pas des frais professionnels déductibles du revenu au sens de l' art. 93 LP .</w:t>
      </w:r>
    </w:p>
    <w:p>
      <w:r>
        <w:rPr>
          <w:b/>
        </w:rPr>
        <w:t>E. 6</w:t>
      </w:r>
    </w:p>
    <w:p>
      <w:r>
        <w:t>Il résulte de ce qui précède que le recours doit être rejeté, dans la mesure de sa recevabilité, aux frais de son auteur ( art. 66 al. 1 LTF ).</w:t>
      </w:r>
    </w:p>
    <w:p>
      <w:r>
        <w:t>Le dépôt de réponses n'ayant pas été requis,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