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5A_706/2011 vom 21. August 2012</w:t>
      </w:r>
    </w:p>
    <w:p>
      <w:r>
        <w:t>Bundesgericht, 2012-08-21, IT</w:t>
      </w:r>
    </w:p>
    <w:p>
      <w:r>
        <w:rPr>
          <w:b/>
        </w:rPr>
        <w:t xml:space="preserve">Quelle: </w:t>
      </w:r>
      <w:r>
        <w:t>https://mcp.opencaselaw.ch/entscheid/bger_5A_706_2011</w:t>
      </w:r>
    </w:p>
    <w:p>
      <w:r>
        <w:t>FR: TF 5A_706/2011 du 21 août 2012</w:t>
      </w:r>
    </w:p>
    <w:p>
      <w:r>
        <w:t>IT: TF 5A_706/2011 del 21 agosto 2012</w:t>
      </w:r>
    </w:p>
    <w:p>
      <w:pPr>
        <w:pStyle w:val="Heading2"/>
      </w:pPr>
      <w:r>
        <w:t>Erwägungen</w:t>
      </w:r>
    </w:p>
    <w:p>
      <w:r>
        <w:rPr>
          <w:b/>
        </w:rPr>
        <w:t>E. 5</w:t>
      </w:r>
    </w:p>
    <w:p>
      <w:r>
        <w:t>Le ricorrenti criticano infine la riforma del giudizio sulle tasse e ripetibili di primo grado operata dal Tribunale di appello. Ritengono in primo luogo che sia stato leso il loro diritto ad una motivazione fondato sull' art. 29 cpv. 2 Cost. , ed in secondo luogo che il decreto cautelare (a loro favorevole) aveva chiuso una fase processuale e non poteva dunque venir rimesso in discussione dal destino dell'appello.</w:t>
      </w:r>
    </w:p>
    <w:p>
      <w:r>
        <w:t>La censura tratta dal diritto di essere sentito ( art. 29 cpv. 2 Cost. ; in proposito DTF 138 IV 81 consid. 2.2; 134 I 83 consid. 4.1) è manifestamente infondata. Già solo a leggere lo stralcio della sentenza impugnata riproposto nell'allegato ricorsuale appare evidente la ragione della decisione dei Giudici cantonali: è la soccombenza delle ricorrenti, siccome riferita alla procedura cautelare nel suo insieme, fino alla decisione di appello compresa. Questa soluzione non solo è esposta in termini sufficientemente chiari, ma è pure - e ciò risponde alla seconda censura - corretta: è, al contrario, addirittura inconcepibile immaginare che la decisione sulle misure cautelari, pronunciata dopo discussione delle supercautelari, e che fa oggetto di un rimedio di diritto ordinario quale l'appello, possa essere considerata una decisione a se stante, svincolata dal successivo appello. Ciò non si verifica nemmeno quando, diversamente da qui, le provvisionali sono oggetto di una procedura indipendente dal merito (supra consid. 1.2).</w:t>
      </w:r>
    </w:p>
    <w:p>
      <w:r>
        <w:t>Le due censure sono pertanto infondate.</w:t>
      </w:r>
    </w:p>
    <w:p>
      <w:r>
        <w:rPr>
          <w:b/>
        </w:rPr>
        <w:t>E. 6</w:t>
      </w:r>
    </w:p>
    <w:p>
      <w:r>
        <w:t>Dato l'esito delle censure sin qui discusse, gli argomenti ricorsuali delle ricorrenti volti ad ottenere quanto postulato con il loro appello adesivo si rivelano inammissibili per carenza di motivazione (supra consid. 1.4); le ricorrenti, infatti, non si confrontano a sufficienza con la motivazione della Corte cantonale secondo la quale il loro appello adesivo era da considerarsi caduco per il fatto che l'appello principale era divenuto senza oggetto.</w:t>
      </w:r>
    </w:p>
    <w:p>
      <w:r>
        <w:rPr>
          <w:b/>
        </w:rPr>
        <w:t>E. 7</w:t>
      </w:r>
    </w:p>
    <w:p>
      <w:r>
        <w:t>Il ricorso in materia civile va pertanto respinto nella misura della sua ammissibilità, con conseguenza di tassa e spese a carico delle ricorrenti soccombenti in solido ( art. 66 cpv. 1 e 5 LTF ). Non si giustifica attribuire ripetibili all'opponente, che si è limitata a dichiarare di non opporsi alla concessione dell'effetto sospensivo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