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5A_704/2022 vom 26. September 2022</w:t>
      </w:r>
    </w:p>
    <w:p>
      <w:r>
        <w:t>Bundesgericht, 2022-09-26, DE</w:t>
      </w:r>
    </w:p>
    <w:p>
      <w:r>
        <w:rPr>
          <w:b/>
        </w:rPr>
        <w:t xml:space="preserve">Quelle: </w:t>
      </w:r>
      <w:r>
        <w:t>https://mcp.opencaselaw.ch/entscheid/bger_5A_704_2022</w:t>
      </w:r>
    </w:p>
    <w:p>
      <w:r>
        <w:t>FR: TF 5A_704/2022 du 26 septembre 2022</w:t>
      </w:r>
    </w:p>
    <w:p>
      <w:r>
        <w:t>IT: TF 5A_704/2022 del 26 settembre 2022</w:t>
      </w:r>
    </w:p>
    <w:p>
      <w:pPr>
        <w:pStyle w:val="Heading2"/>
      </w:pPr>
      <w:r>
        <w:t>Erwägungen</w:t>
      </w:r>
    </w:p>
    <w:p>
      <w:r>
        <w:rPr>
          <w:b/>
        </w:rPr>
        <w:t>E. 1</w:t>
      </w:r>
    </w:p>
    <w:p>
      <w:r>
        <w:t>Der angefochtene Entscheid datiert vom 2. August 2022 und wurde dem Beschwerdeführer bzw. dessen Rechtsvertreter am 4. August 2022 zugestellt. Bis und mit 15. August 2022 galt Fristenstillstand ( Art. 46 Abs. 1 lit. b BGG ). Die 30-tägige Beschwerdefrist gemäss Art. 100 Abs. 1 BGG begann somit am 16. August 2022 zu laufen (44 Abs. 1 BGG; Urteil 5A_634/2008 vom 9. Februar 2009 E. 1) und endete am 14. September 2022 (16 Tage vom 16. bis 31. August sowie 14 Tage vom 1. bis 14. September). Die erst am Donnerstag 15. September 2022 der Post übergebene Beschwerde ist somit verspätet.</w:t>
      </w:r>
    </w:p>
    <w:p>
      <w:r>
        <w:rPr>
          <w:b/>
        </w:rPr>
        <w:t>E. 2</w:t>
      </w:r>
    </w:p>
    <w:p>
      <w:r>
        <w:t>Auf verspätete Beschwerden ist im vereinfachten Verfahren nach Art. 108 Abs. 1 lit. a BGG nicht einzutreten, wobei der Abteilungspräsident entscheidzuständig ist.</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