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5A_703/2017 vom 26. Februar 2018</w:t>
      </w:r>
    </w:p>
    <w:p>
      <w:r>
        <w:t>Bundesgericht, 2018-02-26, DE</w:t>
      </w:r>
    </w:p>
    <w:p>
      <w:r>
        <w:rPr>
          <w:b/>
        </w:rPr>
        <w:t xml:space="preserve">Quelle: </w:t>
      </w:r>
      <w:r>
        <w:t>https://mcp.opencaselaw.ch/entscheid/bger_5A_703_2017</w:t>
      </w:r>
    </w:p>
    <w:p>
      <w:r>
        <w:t>FR: TF 5A_703/2017 du 26 février 2018</w:t>
      </w:r>
    </w:p>
    <w:p>
      <w:r>
        <w:t>IT: TF 5A_703/2017 del 26 febbraio 2018</w:t>
      </w:r>
    </w:p>
    <w:p>
      <w:pPr>
        <w:pStyle w:val="Heading2"/>
      </w:pPr>
      <w:r>
        <w:t>Erwägungen</w:t>
      </w:r>
    </w:p>
    <w:p>
      <w:r>
        <w:rPr>
          <w:b/>
        </w:rPr>
        <w:t>E. 1.1</w:t>
      </w:r>
    </w:p>
    <w:p>
      <w:r>
        <w:t>Das Bundesgericht prüft von Amtes wegen und mit freier Kognition, ob ein Rechtsmittel zulässig ist ( Art. 29 Abs. 1 BGG ; BGE 143 III 416 E. 1).</w:t>
      </w:r>
    </w:p>
    <w:p>
      <w:r>
        <w:rPr>
          <w:b/>
        </w:rPr>
        <w:t>E. 1.2</w:t>
      </w:r>
    </w:p>
    <w:p>
      <w:r>
        <w:t>Die Beschwerde richtet sich gegen einen Entscheid über die innerkantonale Zuständigkeit der Erstinstanz ( Art. 92 Abs. 1 BGG ). Insoweit liegt ein Zwischenentscheid vor, der später nicht mehr angefochten werden kann ( Art. 92 Abs. 2 BGG ), auch wenn es um eine kantonale Zuständigkeit geht (vgl. Nicolas von Werdt, in: Bundesgerichtsgesetz (BGG), 2007, N. 13 zu Art. 92 BGG ; zur Kognition: E. 2.1.3). Bei Zwischenentscheiden folgt der Rechtsweg jenem der Hauptsache ( BGE 137 III 380 E. 1.1 S. 382). Dort geht es um eine vermögensrechtliche Zivilsache im Sinne von Art. 72 ff. BGG , deren Streitwert Fr. 30'000.-- übersteigt (Art. 74 Abs. 1 Bst. b BGG). Die Beschwerde in Zivilsachen ist damit grundsätzlich auch gegen den Zwischenentscheid gegeben. Der Beschwerdeführer ist gemäss Art. 76 Abs. 1 BGG zur Beschwerde berechtigt und die Beschwerdefrist ist eingehalten ( Art. 100 Abs. 1 BGG ). Soweit die Beschwerde die innerkantonale Zuständigkeit der Erstinstanz betrifft, kann darauf eingetreten werden.</w:t>
      </w:r>
    </w:p>
    <w:p>
      <w:r>
        <w:rPr>
          <w:b/>
        </w:rPr>
        <w:t>E. 1.3</w:t>
      </w:r>
    </w:p>
    <w:p>
      <w:r>
        <w:t>Nicht einzutreten ist demgegenüber auf die Beschwerde, soweit der Beschwerdeführer darin rügt, es liege eine res iudicata vor. Er behauptet diesbezüglich, dass die genehmigte Saldoklausel in der Scheidungskonvention bereits rechtskräftig regle, dass er die eingeklagten Steuern nicht zahlen müsse.</w:t>
      </w:r>
    </w:p>
    <w:p>
      <w:r>
        <w:t>Die Vorinstanz hat im vorliegend angefochtenen Zwischenentscheid nicht über die Einrede der res iudicata befunden, sondern lediglich auf ihren früheren Beschluss vom 22. Juli 2015 hierzu verwiesen (Bst. B.g). Dieser Beschluss war ein Rückweisungsentscheid und damit ein Zwischenentscheid im Sinne von Art. 93 BGG ( BGE 143 III 290 E. 1.4; Urteile 4A_66/2016 vom 22. August 2016 Bst. B sowie E. 1 und 4; 4A_341/2013 vom 18. November 2013 E. 1.2 f.), den der Beschwerdeführer nicht sofort anfechten musste ( Art. 93 Abs. 3 BGG ). Nachdem er die sofortige Anfechtung unterlassen hat (Bst. B.d), kann er seine Rügen zur res iudicata am Bundesgericht erst wieder mit der Anfechtung des vorinstanzlichen Endentscheids vortragen, falls es zu einem solchen kommt ( Art. 93 Abs. 3 BGG ; Urteile 8C_24/2014 vom 12. Juni 2014 E. 2.2; 4A_458/2012 vom 30. Oktober 2012 E. 1.2).</w:t>
      </w:r>
    </w:p>
    <w:p>
      <w:r>
        <w:rPr>
          <w:b/>
        </w:rPr>
        <w:t>E. 2.1</w:t>
      </w:r>
    </w:p>
    <w:p>
      <w:r>
        <w:t>Der Beschwerdeführer rügt eine fehlerhafte Beurteilung der innerkantonalen Zuständigkeit des angerufenen Bezirksgerichts.</w:t>
      </w:r>
    </w:p>
    <w:p>
      <w:r>
        <w:rPr>
          <w:b/>
        </w:rPr>
        <w:t>E. 2.1.1</w:t>
      </w:r>
    </w:p>
    <w:p>
      <w:r>
        <w:t>Gemäss Art. 4 Abs. 1 ZPO regelt das kantonale Recht die sachliche und funktionelle Zuständigkeit der Gerichte, soweit das Gesetz nichts anderes bestimmt. Die ZPO enthält diverse Vorschriften zu den familienrechtlichen Verfahren, bestimmt jedoch nicht, welche Behörde innerhalb eines Kantons für eine Familiensache zuständig ist und ob es ein Einzel- oder Kollegialgericht ist. Die sachliche und funktionelle Zuständigkeit hierfür richtet sich daher nach kantonalem Recht, hier dem Justizgesetz des Kantons Schwyz (JG; SRSZ 231.110), das die Vorinstanz angewendet hat.</w:t>
      </w:r>
    </w:p>
    <w:p>
      <w:r>
        <w:rPr>
          <w:b/>
        </w:rPr>
        <w:t>E. 2.1.2</w:t>
      </w:r>
    </w:p>
    <w:p>
      <w:r>
        <w:t>Das Kantonsgericht erwog, dass keine Familiensache gemäss   § 31 Abs. 2 Bst. a JG vorliege, weil die Ehe der Parteien bereits geschieden sei und weil es weder um die Regelung der Scheidungsnebenfolgen noch um deren Ergänzung oder Abänderung gehe. Im Streit sei vielmehr eine Forderungsklage mit der Besonderheit, dass sich diese auf eine im Eheschutzverfahren getroffene Vereinbarung stütze. Dafür sei auf Grund des Streitwerts [der ein vereinfachtes Verfahren ausschliesse - § 31 Abs. 2 Bst. c JG] nicht der Einzelrichter, sondern das Bezirksgericht [als Gesamtgericht] zuständig.</w:t>
      </w:r>
    </w:p>
    <w:p>
      <w:r>
        <w:rPr>
          <w:b/>
        </w:rPr>
        <w:t>E. 2.1.3</w:t>
      </w:r>
    </w:p>
    <w:p>
      <w:r>
        <w:t>Das Bundesgericht prüft die Anwendung kantonalen Rechts - von hier nicht gegebenen Sonderfällen (Art. 95 Bst. c-e) abgesehen - nur insofern, als diese eine Verletzung von Bundesrecht (Art. 95 Bst. a BGG) oder von Völkerrecht (Art. 95 Bst. b BGG) darstellt ( BGE 142 V 577 E. 3.1; 142 II 369 E. 2.1 ; 138 I 143 E. 2). Dabei steht die willkürliche Anwendung des kantonalen Rechts ( Art. 9 BV ) sowie die Verletzung anderer Grundrechte ( Art. 8 ff. BV ) im Vordergrund ( BGE 142 V 577 E. 3.1). Deren Verletzung prüft es nur insofern, als eine entsprechende Rüge in der Beschwerde vorgebracht und begründet worden ist ( Art. 106 Abs. 2 BGG ). Darin ist klar und detailliert anhand der Erwägungen des angefochtenen Entscheids darzulegen, inwiefern die angerufenen Rechte verletzt worden sein sollen ( BGE 142 II 369 E. 2.1).</w:t>
      </w:r>
    </w:p>
    <w:p>
      <w:r>
        <w:rPr>
          <w:b/>
        </w:rPr>
        <w:t>E. 2.1.4</w:t>
      </w:r>
    </w:p>
    <w:p>
      <w:r>
        <w:t>Der Beschwerdeführer rügt, die Vorinstanz habe die Zuständigkeit des Bezirksgerichts als Gesamtgericht zu Unrecht bejaht, weil eine Familiensache vorliege, zu deren Beurteilung zwingend der Einzelrichter zuständig sei. Er bezeichnet die Erwägungen, mit denen die Vorinstanz das Vorliegen einer Familiensache nach dem JG verneint hat, als absurd und unverständlich, denn es gehe um eine Familiensache, nämlich um die Erläuterung einer Eheschutzverfügung und des Scheidungsurteils (Saldoklausel). Er legt aber nicht klar und detailliert dar, weshalb die Würdigung der Vorinstanz willkürlich sein oder andere Grundrechte verletzen soll. Insbesondere vermisst man hier eine eingehende Auseinandersetzung mit der vorinstanzlichen Ansicht, es liege eine gewöhnliche Forderungsklage vor, deren einzige Besonderheit darin bestehe, dass sie auf einer Vereinbarung im Eheschutzverfahren beruhe (E. 2.1.2). In diesem Punkt ist mangels ausreichender Begründung auf die Beschwerde nicht einzutreten.</w:t>
      </w:r>
    </w:p>
    <w:p>
      <w:r>
        <w:rPr>
          <w:b/>
        </w:rPr>
        <w:t>E. 3.1</w:t>
      </w:r>
    </w:p>
    <w:p>
      <w:r>
        <w:t>Der Beschwerdeführer erhebt neben der Einrede der res iudicata (E. 1.3) und der fehlenden kantonalen Zuständigkeit (E. 2) drei weitere Einreden, welche die Wahl der Verfahrensart und die Zuständigkeit der Erstinstanz betreffen. Er macht geltend, dass es der Beschwerdegegnerin um eine Geldvollstreckung nach SchKG gehe, für die der Rechtsöffnungsrichter zuständig sei. Ansonsten sei auf Grund des Grundsatzes der Einheit des Scheidungsurteils ( Art. 283 ZPO ) der Scheidungsrichter im Scheidungsverfahren zur Beurteilung der Klage zuständig. Wenn die Saldoklausel in der Scheidungskonvention unklar sei, gehe es um eine Erläuterung, die ebenfalls der Scheidungsrichter, der die Konvention genehmigt habe, beurteilen müsse ( Art. 334 ZPO ). Der Beschwerdeführer bemängelt, dass diese weiteren Einreden nicht geprüft worden seien und dass die Vorinstanz damit seinen Gehörsanspruch ( Art. 29 Abs. 2 BV ) verletzt habe.</w:t>
      </w:r>
    </w:p>
    <w:p>
      <w:r>
        <w:rPr>
          <w:b/>
        </w:rPr>
        <w:t>E. 3.2</w:t>
      </w:r>
    </w:p>
    <w:p>
      <w:r>
        <w:t>Zutreffend ist, dass die Vorinstanz die weiteren Einreden des Beschwerdeführers nicht beurteilt hat. Das musste sie aber auch nicht, weil es im angefochtenen Zwischenentscheid lediglich um die kantonale Zuständigkeit ging. Grundsätzlich liegt es im Ermessen der Erstinstanz, welche Prozessvoraussetzungen sie zum Gegenstand eines Zwischenentscheids gemäss Art. 237 ZPO machen will; ein Anspruch der Parteien auf Vorabprüfung der Klagevoraussetzungen in einem Zwischenentscheid besteht nicht (Urteil 5A_73/2014 vom 18. März 2014 E. 2.3). Vorbehalten bleiben allfällige Ermessensfehler des Gerichts (Urteil 4A_142/2014 vom 2. Oktober 2014 E. 2), die der Beschwerdeführer hier nicht rügt.</w:t>
      </w:r>
    </w:p>
    <w:p>
      <w:r>
        <w:t>Indem sich die Vorinstanz auf Erwägungen zur kantonalen Zuständigkeit beschränkte, verneinte sie implizit die Relevanz der weiteren Einreden für den angefochtenen Zwischenentscheid ( BGE 141 V 557 E. 3.2.1; Urteil 2C_1065/2014 vom 26. Mai 2016 E. 3.2, nicht publ. in BGE 142 II 268 ). Dagegen wendet der Beschwerdeführer nichts ein. Seine Gehörsrüge ist daher nicht ausreichend begründet.</w:t>
      </w:r>
    </w:p>
    <w:p>
      <w:r>
        <w:t>Weil die Rügen des Beschwerdeführers zu den weiteren Einreden ausserhalb des Streitgegenstands (kantonale Zuständigkeit) liegen und die Rüge der Gehörsverletzung nicht ausreichend begründet ist, kann auch in diesem Punkt auf die Beschwerde nicht eingetreten werden.</w:t>
      </w:r>
    </w:p>
    <w:p>
      <w:r>
        <w:rPr>
          <w:b/>
        </w:rPr>
        <w:t>E. 3.3</w:t>
      </w:r>
    </w:p>
    <w:p>
      <w:r>
        <w:t>Wie es sich mit den weiteren Einreden des Beschwerdeführers zur Verfahrensart und Zuständigkeit (E. 3.1) materiell verhält, kann offen bleiben. Die Einreden werden hier nicht beurteilt, nachdem sie schon nicht Gegenstand des angefochtenen Zwischenentscheids waren. Sie können daher später noch geprüft werden. Für die Rügen betreffend die Einrede der res iudicata gilt das in E. 1.3 Erwähnte.</w:t>
      </w:r>
    </w:p>
    <w:p>
      <w:r>
        <w:rPr>
          <w:b/>
        </w:rPr>
        <w:t>E. 4</w:t>
      </w:r>
    </w:p>
    <w:p>
      <w:r>
        <w:t>Aus den erwähnten Gründen ist auf die Beschwerde nicht einzutreten. Bei diesem Verfahrensausgang hat der Beschwerdeführer die Gerichtskosten zu tragen ( Art. 66 Abs. 1 BGG ). Der Beschwerdegegnerin ist kein entschädigungspflichtiger Aufwand entstanden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