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702/2017 vom 19. September 2017</w:t>
      </w:r>
    </w:p>
    <w:p>
      <w:r>
        <w:t>Bundesgericht, 2017-09-19, FR</w:t>
      </w:r>
    </w:p>
    <w:p>
      <w:r>
        <w:rPr>
          <w:b/>
        </w:rPr>
        <w:t xml:space="preserve">Quelle: </w:t>
      </w:r>
      <w:r>
        <w:t>https://mcp.opencaselaw.ch/entscheid/bger_5A_702_2017</w:t>
      </w:r>
    </w:p>
    <w:p>
      <w:r>
        <w:t>FR: TF 5A 702/2017 du 19 septembre 2017</w:t>
      </w:r>
    </w:p>
    <w:p>
      <w:r>
        <w:t>IT: TF 5A 702/2017 del 19 settembre 2017</w:t>
      </w:r>
    </w:p>
    <w:p>
      <w:pPr>
        <w:pStyle w:val="Heading2"/>
      </w:pPr>
      <w:r>
        <w:t>Regeste</w:t>
      </w:r>
    </w:p>
    <w:p>
      <w:r>
        <w:t>contribution d'entretien (mesures protectrices de l'union conjugale)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13 avril 2017 par voie de mesures protectrices de l'union conjugale, le Président du Tribunal civil de l'arrondissement de La Côte a, en particulier, autorisé les époux A.________ à vivre séparés pour une durée indéterminée (I), confié à la mère la garde sur les enfants C.________, D.________ et E.________ (II) et arrêté les contributions d'entretien en faveur des enfants (VIII-X) et de l'épouse (XI). Par arrêt du 24 juillet 2017, la Juge déléguée de la Cour d'appel civile du Tribunal cantonal du canton de Vaud a partiellement admis l'appel du mari et réformé le chiffre XI du dispositif de la décision attaquée en ce sens que la contribution d'entretien en faveur de l'épouse est fixée à 3'620 fr. par mois, dès et y compris le 1er mars 2017 (II/XI).</w:t>
      </w:r>
    </w:p>
    <w:p>
      <w:r>
        <w:rPr>
          <w:b/>
        </w:rPr>
        <w:t>E. 2</w:t>
      </w:r>
    </w:p>
    <w:p>
      <w:r>
        <w:t>Par mémoire expédié le 14 septembre 2017, le mari exerce un recours en matière civile au Tribunal fédéral contre l'arrêt cantonal; sur le fond, il conclut au déboutement de l'intimée de toutes ses conclusions. Des observations n'ont pas été requises.</w:t>
      </w:r>
    </w:p>
    <w:p>
      <w:r>
        <w:rPr>
          <w:b/>
        </w:rPr>
        <w:t>E. 3</w:t>
      </w:r>
    </w:p>
    <w:p>
      <w:r>
        <w:t>Le recourant affirme que l'arrêt attaqué a été notifié le 28 juillet 2017 à l'étude de son conseil; se référant à l'" art. 46 al. 1 LTF ", il soutient que le délai de recours n'a ainsi commencé à courir que le " 16 août 2017 ", pour expirer le " 14 septembre 2017 ". Cette opinion est erronée. La décision attaquée porte sur des mesures provisionnelles au sens de l' art. 98 LTF ( ATF 133 III 585 consid. 3.3 et la jurisprudence citée), en sorte que la suspension des délais prévue à l' art. 46 al. 1 let. b LTF n'est pas applicable ( art. 46 al. 2 LTF ; ATF 135 III 430 consid. 1.1; 134 III 667 consid. 1.3 et les arrêts cités). Il s'ensuit que, en l'espèce, le délai de recours expirait le 28 août 2017 ; mis à la poste le 14 septembre 2017, le recours est dès lors tardif.</w:t>
      </w:r>
    </w:p>
    <w:p>
      <w:r>
        <w:rPr>
          <w:b/>
        </w:rPr>
        <w:t>E. 4</w:t>
      </w:r>
    </w:p>
    <w:p>
      <w:r>
        <w:t>Vu ce qui précède, le recours doit être déclaré irrecevable par voie de procédure simplifiée ( art. 108 al. 1 let. a LTF ), avec suite de frais à la charge du recourant ( art. 66 al. 1 LTF ). Le présent arrêt rend sans objet la requête d'effet suspensif présentée par le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