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5A_6/2018 vom 23. März 2018</w:t>
      </w:r>
    </w:p>
    <w:p>
      <w:r>
        <w:t>Bundesgericht, 2018-03-23, DE</w:t>
      </w:r>
    </w:p>
    <w:p>
      <w:r>
        <w:rPr>
          <w:b/>
        </w:rPr>
        <w:t xml:space="preserve">Quelle: </w:t>
      </w:r>
      <w:r>
        <w:t>https://mcp.opencaselaw.ch/entscheid/bger_5A_6_2018</w:t>
      </w:r>
    </w:p>
    <w:p>
      <w:r>
        <w:t>FR: TF 5A_6/2018 du 23 mars 2018</w:t>
      </w:r>
    </w:p>
    <w:p>
      <w:r>
        <w:t>IT: TF 5A_6/2018 del 23 marzo 2018</w:t>
      </w:r>
    </w:p>
    <w:p>
      <w:pPr>
        <w:pStyle w:val="Heading2"/>
      </w:pPr>
      <w:r>
        <w:t>Erwägungen</w:t>
      </w:r>
    </w:p>
    <w:p>
      <w:r>
        <w:rPr>
          <w:b/>
        </w:rPr>
        <w:t>E. 1</w:t>
      </w:r>
    </w:p>
    <w:p>
      <w:r>
        <w:t>Das Obergericht hat in seinem Beschluss vom 29. November 2017 erwogen, dass sich die Mutter bei der Unterstellung angeblicher sexueller Übergriffe auf Vorkommnisse bis zum Jahr 2014 zurück beziehe (seinerzeit habe der Vater beim Wechseln der Windeln das Kind im Intimbereich gesäubert; aktuell unterstütze er die Tochter beim Waschen und bei der Hygiene im Intimbereich) und behaupte, all das zur Schonung der Beteiligten bisher zurückgehalten zu haben, was unglaubhaft erscheine, zumal sie sich auf Äusserungen diverser Fachpersonen beziehe, welche allesamt von ihr instruiert worden seien. Abgesehen davon gehe es um Handlungen, die primär dann problematisch wären, wenn sie von einem Fremden ausgegangen wären. Die ausnahmsweise Erteilung der aufschiebenden Wirkung für die angefochtenen vorsorglichen Massnahmen bzw. der Erlass spezieller Massnahmen während des Berufungsverfahrens rechtfertigte sich nicht.</w:t>
      </w:r>
    </w:p>
    <w:p>
      <w:r>
        <w:rPr>
          <w:b/>
        </w:rPr>
        <w:t>E. 2</w:t>
      </w:r>
    </w:p>
    <w:p>
      <w:r>
        <w:t>Beim angefochtenen Entscheid handelt es sich um einen Zwischenentscheid, welcher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IV 289 E. 1.3 S. 292). Ausserdem ist zu beachten, dass es beim Hauptverfahren um eine vorsorgliche Massnahme geht, weshalb nur die Verletzung verfassungsmässiger Rechte gerügt werden kann ( Art. 98 BGG ), was a fortiori in Bezug auf die Anfechtung eines Zwischenentscheides im kantonalen Massnahmeverfahren gilt (vgl. Urteil 5A_1025/2017 vom 1. März 2018 E. 1). Das für Verfassungsrügen zum Tragen kommende Rügeprinzip ( Art. 106 Abs. 2 BGG ) besagt,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w:t>
      </w:r>
    </w:p>
    <w:p>
      <w:r>
        <w:rPr>
          <w:b/>
        </w:rPr>
        <w:t>E. 3</w:t>
      </w:r>
    </w:p>
    <w:p>
      <w:r>
        <w:t>Die weitschweifigen Ausführungen in der Beschwerde beziehen sich v.a. auf die Broschüre der Stiftung Kinderschutz Schweiz betreffend Sexualerziehung bei Kleinkindern und diesbezügliche abstrakte Hinweise, wonach sexuelle Übergriffe auf Kinder in erster Linie von Vätern ausgehen würden. Der primäre und neue konkrete Vorhalt besteht letztlich darin, dass der Vater mit dem Kind bei Kerzenlicht ein Bad genommen haben soll.</w:t>
      </w:r>
    </w:p>
    <w:p>
      <w:r>
        <w:t>Abgesehen davon, dass die Ausführungen weitgehend in appellatorischer Weise vorgetragen werden und sich nicht von substanziierten Verfassungsrügen sprechen lässt, ist auch fraglich, ob die Voraussetzungen von Art. 93 Abs. 1 BGG hinreichend dargelegt sind. Dies kann letztlich insofern offen bleiben, als die Beschwerde ohnehin auch in der Sache augenfällig unbegründet ist: Im angefochtenen Entscheid wurde die mit Eingabe vom 23. November 2017 für das kantonale Berufungsverfahren anbegehrte Einschränkung des Besuchsrechts dahingehend, dass Besuche nur noch begleitet stattfinden dürften, abgewiesen. Solche Begehren gehen über den Verfahrensgegenstand (nämlich die Regelung der konkreten Besuchszeiten bzw. die Ausdehnung des Besuchsrechts auch auf ganze Wochenenden) hinaus und es ist deshalb keinerlei Rechtsverletzung, geschweige denn eine Verletzung verfassungsmässiger Rechte ersichtlich, wenn das Obergericht solches abgelehnt hat. Wären tatsächlich Vorfälle nachweislich, welche aus Gründen des Kindesschutzes eine Begleitung der Besuche notwendig machen würden, so hätte die Mutter dies ihm Rahmen eines neuen erstinstanzlichen Massnahmeverfahrens und nicht im Rechtsmittelverfahren durch Einführung neuen Prozessstoffes geltend zu machen. Entsprechend gehen ferner auch die Gehörsrügen, wonach das Obergericht sich angeblich zu wenig mit den betreffenden Vorbringen in der Eingabe vom 23. November 2017 auseinandergesetzt habe, an der Sache vorbei.</w:t>
      </w:r>
    </w:p>
    <w:p>
      <w:r>
        <w:rPr>
          <w:b/>
        </w:rPr>
        <w:t>E. 4</w:t>
      </w:r>
    </w:p>
    <w:p>
      <w:r>
        <w:t>Nach dem Gesagten ist die Beschwerde im vereinfachten Verfahren nach Art. 109 Abs. 2 lit. a BGG abzuweisen, soweit darauf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