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5A_699/2017 vom 24. Oktober 2017</w:t>
      </w:r>
    </w:p>
    <w:p>
      <w:r>
        <w:t>Bundesgericht, 2017-10-24, FR</w:t>
      </w:r>
    </w:p>
    <w:p>
      <w:r>
        <w:rPr>
          <w:b/>
        </w:rPr>
        <w:t xml:space="preserve">Quelle: </w:t>
      </w:r>
      <w:r>
        <w:t>https://mcp.opencaselaw.ch/entscheid/bger_5A_699_2017</w:t>
      </w:r>
    </w:p>
    <w:p>
      <w:r>
        <w:t>FR: TF 5A_699/2017 du 24 octobre 2017</w:t>
      </w:r>
    </w:p>
    <w:p>
      <w:r>
        <w:t>IT: TF 5A_699/2017 del 24 ottobre 2017</w:t>
      </w:r>
    </w:p>
    <w:p>
      <w:pPr>
        <w:pStyle w:val="Heading2"/>
      </w:pPr>
      <w:r>
        <w:t>Erwägungen</w:t>
      </w:r>
    </w:p>
    <w:p>
      <w:r>
        <w:rPr>
          <w:b/>
        </w:rPr>
        <w:t>E. 1.1</w:t>
      </w:r>
    </w:p>
    <w:p>
      <w:r>
        <w:t>Le recours est dirigé contre une décision finale ( art. 90 LTF ), prise par un tribunal cantonal supérieur statuant sur recours ( art. 75 al. 1 et 2 LTF ), statuant sur les relations personnelles entre le parent non marié - qui n'a pas la garde de l'enfant mineur - et l'enfant, soit dans une affaire civile ( art. 72 al. 1 LTF ). Comme la question soumise au Tribunal fédéral est de nature non pécuniaire, le recours est ouvert indépendamment de la valeur litigieuse (arrêt 5A_304/2016 du 13 juin 2016 consid. 1). Déposé par ailleurs en temps utile ( art. 100 al. 1 LTF ) et en la forme écrite prévue par la loi ( art. 42 al. 1 LTF ), par une partie qui a pris part à la procédure devant l'autorité précédente ( art. 76 al. 1 let. a LTF ) et a un intérêt digne de protection à l'annulation ou à la modification de la décision attaquée ( art. 76 al. 1 let. b LTF ), le recours en matière civile est en principe recevable.</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et les arrêts cités). Dans la mesure où le recourant conclut, " préalablement " à l'annulation de l'arrêt querellé, à ce qu'il soit constaté que son droit d'être entendu a été violé, il formule une conclusion constatatoire qui est irrecevable.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 l'exigence de motivation prévue à l' art. 42 al. 1 et 2 LTF , il n'examine en principe que les griefs soulevés; il n'est pas tenu de traiter, à l'instar d'une autorité de première instance, toutes les questions juridiques qui peuvent se poser, lorsqu'elles ne sont plus discutées devant lui; pour satisfaire à son obligation de motiver, le recourant doit discuter les motifs de la décision entreprise et indiquer précisément en quoi il estime que l'autorité précédente a méconnu le droit ( ATF 140 III 86 consid. 2, 115 consid. 2). Le Tribunal fédéral ne connaît de la violation de droits fondamentaux que si ce grief a été dûment invoqué et motivé par le recourant (" principe d'allégation ", art. 106 al. 2 LTF ; ATF 137 II 305 consid. 3.3), c'est-à-dire s'il a été expressément soulevé et exposé de manière claire et détaillée ( ATF 141 I 36 consid. 1.3; 135 III 232 consid. 1.2). Les critiques de nature appellatoire sont irrecevables ( ATF 140 III 264 consid. 2.3 et les références).</w:t>
      </w:r>
    </w:p>
    <w:p>
      <w:r>
        <w:t>Lorsque la décision attaquée repose sur une double motivation, la partie recourante doit, sous peine d'irrecevabilité, démontrer que chacune d'elle est contraire au droit en se conformant aux exigences fixées par la jurisprudence relative aux art. 42 al. 2 et 106 al. 2 LTF ( ATF 138 III 728 consid. 3.4).</w:t>
      </w:r>
    </w:p>
    <w:p>
      <w:r>
        <w:rPr>
          <w:b/>
        </w:rPr>
        <w:t>E. 2.2.1</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4A_98/2016 du 22 août 2016 consid. 1.2; 4A_398/2015 du 19 mai 2016 consid. 1, non publié aux ATF 142 III 369 ; 5A_639/2014 du 8 septembre 2015 consid. 2.2.1 et 2.2.2). Le recourant qui soutient que les faits ont été établis d'une manière manifestement inexacte ( art. 97 al. 1 LTF ) doit satisfaire au principe d'allégation susmentionné (cf.</w:t>
      </w:r>
    </w:p>
    <w:p>
      <w:r>
        <w:t>supra consid. 2.1).</w:t>
      </w:r>
    </w:p>
    <w:p>
      <w:r>
        <w:t>Par ailleurs, 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rPr>
          <w:b/>
        </w:rPr>
        <w:t>E. 2.2.2</w:t>
      </w:r>
    </w:p>
    <w:p>
      <w:r>
        <w:t>En l'espèce, l'état de fait a été complété d'office sur la base de l'ordonnance de première instance et des pièces du dossier. Par ailleurs, les faits que le recourant allègue en lien avec son grief de violation de son droit de réplique aux chiffres 2 à 5 de son mémoire sont recevables dès lors qu'ils entrent dans l'exception de l'art. 99 al. 1</w:t>
      </w:r>
    </w:p>
    <w:p>
      <w:r>
        <w:t>in fine LTF. En revanche, les faits que le recourant " rappelle " aux chiffres 35 à 39 et 41 de son recours seront ignorés en tant qu'ils s'écartent de ceux contenus dans l'arrêt attaqué et que le recourant n'invoque, ni a fortiori ne démontre, leur établissement arbitraire ou que leur correction influerait sur le sort de la cause.</w:t>
      </w:r>
    </w:p>
    <w:p>
      <w:r>
        <w:rPr>
          <w:b/>
        </w:rPr>
        <w:t>E. 3</w:t>
      </w:r>
    </w:p>
    <w:p>
      <w:r>
        <w:t>Le recourant invoque une violation de son droit d'être entendu ( art. 29 al. 2 Cst. et 53 al. 1 CPC). Il reproche à la Chambre de surveillance de ne pas avoir répondu à sa demande du 14 juillet 2017 tendant à la fixation d'un délai pour répliquer et de n'avoir fait aucune référence à sa réplique spontanée du 21 juillet 2017 dans la partie " En fait " de sa décision, laquelle ne mentionnait que son acte recours, ainsi que les observations du TPAE, du SPMi et de l'intimée. Il ignorait même si son mémoire de réplique avait été transmis aux autres parties, n'ayant reçu aucune information dans ce sens. Il y avait ainsi lieu d'admettre que la Chambre de surveillance avait écarté son mémoire de réplique et les pièces y relatives et n'avait pas tenu compte des éléments en ressortant au moment de la délibération, alors qu'ils auraient pu avoir une incidence sur le résultat du recours.</w:t>
      </w:r>
    </w:p>
    <w:p>
      <w:r>
        <w:rPr>
          <w:b/>
        </w:rPr>
        <w:t>E. 3.1.1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w:t>
      </w:r>
    </w:p>
    <w:p>
      <w:r>
        <w:t>Il est du devoir du tribunal de garantir aux parties un droit effectif à la réplique dans chaque cas particulier. Toute prise de position ou pièce nouvelle versée au dossier doit dès lors être communiquée aux parties pour leur permettre de décider si elles veulent ou non faire usage de leur faculté de se déterminer ( ATF 139 I 189 consid. 3.2 et les références; cf. en outre les arrêts de la Cour européenne des droits de l'homme dans les causes</w:t>
      </w:r>
    </w:p>
    <w:p>
      <w:r>
        <w:t>Schaller-Bossert</w:t>
      </w:r>
    </w:p>
    <w:p>
      <w:r>
        <w:t>contre Suisse du 28 octobre 2010 § 39 s. et</w:t>
      </w:r>
    </w:p>
    <w:p>
      <w:r>
        <w:t>Nideröst-Huber contre Suisse du 18 février 1997 § 24). Le tribunal peut à cet effet accorder à la partie concernée un délai ( ATF 133 V 196 consid. 1.2). Il peut néanmoins suffire de lui transmettre pour information la prise de position ou la pièce nouvelle versée au dossier, lorsque l'on peut attendre d'elle - notamment lorsqu'elle est représentée par un avocat ou par une personne qui a de bonnes connaissances en droit - qu'elle prenne position immédiatement ou qu'elle demande au tribunal de lui fixer un délai pour ce faire ( ATF 138 I 484 consid. 2.4).</w:t>
      </w:r>
    </w:p>
    <w:p>
      <w:r>
        <w:rPr>
          <w:b/>
        </w:rPr>
        <w:t>E. 3.1.2</w:t>
      </w:r>
    </w:p>
    <w:p>
      <w:r>
        <w:t>Selon la jurisprudence, le droit de réplique existe indépendamment du fait qu'un second échange d'écritures a été ordonné, qu'un délai pour se déterminer a été fixé ou que l'écriture a été communiquée uniquement pour information ou prise de connaissance ( ATF 138 I 484 consid. 2.2; 133 I 98 consid. 2.2). Si une partie considère qu'il est nécessaire de répliquer à une prise de position qui lui est notifiée, elle doit sans retard soit requérir l'autorisation de se déterminer, soit adresser sa réplique au tribunal ( ATF 138 I 484 consid. 2.2; 133 I 100 consid. 4.8; 132 I 42 consid. 3.3.3 et 3.3.4; arrêt de la Cour européenne des droits de l'homme dans la cause</w:t>
      </w:r>
    </w:p>
    <w:p>
      <w:r>
        <w:t>Joos contre Suisse du 15 novembre 2012, §§ 27 ss, spéc. §§ 30-32). A défaut, on présume qu'elle renonce à exercer son droit de réplique (FRANÇOIS BOHNET, Le droit de réplique en procédure civile, in Bohnet (éd.), Le droit de réplique, Bâle 2013, ch. 17 p. 157).</w:t>
      </w:r>
    </w:p>
    <w:p>
      <w:r>
        <w:rPr>
          <w:b/>
        </w:rPr>
        <w:t>E. 3.1.3</w:t>
      </w:r>
    </w:p>
    <w:p>
      <w:r>
        <w:t>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il n'y a pas lieu d'annuler la décision attaquée. Partant, l'admission du grief de violation du droit d'être entendu suppose que dans sa motivation, le recourant expose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(arrêts 5A_749/2016 du 11 mai 2017 consid. 6; 4A_453/2016 du 16 février 2017 consid. 4.2.3 et 4.2.4; 4A_283/2013 du 20 août 2013 consid. 3.3; 6B_339/2011 du 5 septembre 2011 consid. 3.4; 4A_67/2011 du 7 juin 2011 consid. 2.1.2; 6B_76/2011 du 31 mai 2011 consid. 2.1; 4A_153/2009 du 1er mai 2009 consid. 4.1).</w:t>
      </w:r>
    </w:p>
    <w:p>
      <w:r>
        <w:rPr>
          <w:b/>
        </w:rPr>
        <w:t>E. 3.2</w:t>
      </w:r>
    </w:p>
    <w:p>
      <w:r>
        <w:t>En l'espèce, en se bornant à affirmer péremptoirement que la prétendue non-prise en compte de sa réplique du 21 juillet 2017 aurait pu avoir une incidence sur le résultat du recours, le recourant ne satisfait pas aux exigences de motivation susrappelées en tant qu'il n'explique pas quelle influence la violation du droit d'être entendu qu'il dénonce a concrètement pu avoir sur la procédure. Il n'indique pas précisément quels allégués, arguments, preuves et offres de preuve présentés dans sa réplique auraient été importants pour la décision à rendre, étant au demeurant rappelé que l'autorité n'est pas tenue de prendre position sur tous les arguments des parties et peut se limiter aux questions décisives ( ATF 126 I 15 consid. 2a/aa; 124 II 146 consid. 2a et l'arrêt cité). Quoi qu'il en soit, il résulte du dossier transmis par la Chambre de surveillance que le mémoire de réplique litigieux a été considéré comme déposé en temps utile et qu'il a été transmis en copie aux participants à la procédure en date du 24 juillet 2017, soit le jour même de sa réception au greffe.</w:t>
      </w:r>
    </w:p>
    <w:p>
      <w:r>
        <w:t>Autant que recevable, le moyen se révèle infondé.</w:t>
      </w:r>
    </w:p>
    <w:p>
      <w:r>
        <w:rPr>
          <w:b/>
        </w:rPr>
        <w:t>E. 4</w:t>
      </w:r>
    </w:p>
    <w:p>
      <w:r>
        <w:t>Le recourant dénonce une seconde violation de son droit d'être entendu ( art. 29 al. 2 Cst. et 53 al. 1 CPC) en tant que la Chambre de surveillance a estimé que sa conclusion tendant à la mise en oeuvre d'une contre-expertise était irrecevable faute de motivation et qu'une telle demande devait de toute manière être rejetée.</w:t>
      </w:r>
    </w:p>
    <w:p>
      <w:r>
        <w:t>Il expose que, contrairement à ce qu'avait retenu l'autorité cantonale, il avait motivé sa demande de contre-expertise en expliquant que les experts n'avaient pas pu prendre contact avec son médecin en raison du fait qu'il ne l'avait pas délié de son secret professionnel. Toutefois, après l'intervention de son conseil, il avait accepté, lors de l'audience du 1er février 2017, de le faire. Afin de pouvoir analyser avec précision son état psychologique, il était indispensable que " les experts puissent avoir accès à ces informations, même si le contraire a[vait] été affirmé ", celles-ci pouvant " potentiellement avoir une incidence sur les conclusions des experts ".</w:t>
      </w:r>
    </w:p>
    <w:p>
      <w:r>
        <w:rPr>
          <w:b/>
        </w:rPr>
        <w:t>E. 4.1.1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arrêts cités). L' art. 29 al. 2 Cst. n'exclut pas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4.1.2</w:t>
      </w:r>
    </w:p>
    <w:p>
      <w:r>
        <w:t>Selon la jurisprudence relative à l' art. 9 Cst. , le juge apprécie librement la force probante d'une expertise. Dans le domaine des connaissances professionnelles particulières de l'expert, il ne peut toutefois s'écarter de l'opinion de celui-ci que pour des motifs importants.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138 III 193 consid. 4.3.1; 136 II 539 consid. 3.2; 133 II 384 consid. 4.2.3; 132 II 257 consid. 4.4.1).</w:t>
      </w:r>
    </w:p>
    <w:p>
      <w:r>
        <w:rPr>
          <w:b/>
        </w:rPr>
        <w:t>E. 4.2</w:t>
      </w:r>
    </w:p>
    <w:p>
      <w:r>
        <w:t>La Chambre de surveillance a considéré que la conclusion préalable du recourant tendant à ce qu'une contre-expertise soit ordonnée était irrecevable faute d'être motivée. Eût-il fallu entrer en matière que dite conclusion aurait dû être rejetée. Il n'existait en effet aucune raison de douter de l'impartialité des experts ni de la qualité de leurs connaissances techniques.</w:t>
      </w:r>
    </w:p>
    <w:p>
      <w:r>
        <w:rPr>
          <w:b/>
        </w:rPr>
        <w:t>E. 4.3</w:t>
      </w:r>
    </w:p>
    <w:p>
      <w:r>
        <w:t>C'est à tort que la Chambre de surveillance a considéré que la conclusion litigieuse n'était pas motivée. Il résulte en effet de la page 14 du recours cantonal que le recourant sollicitait une contre-expertise afin que son médecin, désormais délié de son secret professionnel, puisse être interrogé par de nouveaux experts. Le refus de la contre-expertise a toutefois également été motivé par une argumentation subsidiaire, suffisante en soi, que le recourant ne parvient pas à infirmer. S'il s'en prend bien au second pan de la double motivation de la cour cantonale, il ne présente en effet aucune argumentation conforme à l' art. 106 al. 2 LTF : il se limite à affirmer, de manière purement appellatoire, que l'interrogatoire de son médecin par les (nouveaux) experts est indispensable afin d'analyser avec précision son état psychologique et que les informations ainsi obtenues " pourraient potentiellement " avoir une incidence sur leurs conclusions.</w:t>
      </w:r>
    </w:p>
    <w:p>
      <w:r>
        <w:t>Insuffisamment motivé, le moyen est irrecevable.</w:t>
      </w:r>
    </w:p>
    <w:p>
      <w:r>
        <w:rPr>
          <w:b/>
        </w:rPr>
        <w:t>E. 5</w:t>
      </w:r>
    </w:p>
    <w:p>
      <w:r>
        <w:t>Le recourant invoque enfin une violation des art. 273 al. 1 et 274 al. 2 CC. Après avoir contesté que la cause principale des souffrances vécues par ses enfants en raison du conflit parental était liée à ses troubles de la personnalité paranoïaque diagnostiqués par les expertes et " rappelé " certains faits dont il ne peut être tenu compte (ch. 35 à 39 et 41 du recours; cf.</w:t>
      </w:r>
    </w:p>
    <w:p>
      <w:r>
        <w:t>supra consid. 2.2.2), il soutient que la mesure prise par l'autorité cantonale est disproportionnée. Il ne s'était jamais montré violent envers ses enfants, entretenait une bonne relation avec eux et participait à leur bon développement tout comme à leur épanouissement en favorisant des sorties et des loisirs lors du week-end et des vacances qu'ils passent avec eux depuis 2010. Dans le cadre de son recours, il s'était dit désireux de tenir compte des recommandations des expertes en lien avec les souffrances des enfants. Ainsi, il ne s'était pas opposé à la mise en place d'une guidance parentale et avait accepté d'entamer un suivi psychologique. Le recourant considère dès lors comme suffisant de ne prévoir aucun contact entre les parents, que cela soit au moment du passage des enfants ou lors d'entretiens téléphoniques: ces mesures devraient permettre un apaisement important de la situation et donc de ses angoisses, lui laissant toute son énergie pour les enfants.</w:t>
      </w:r>
    </w:p>
    <w:p>
      <w:r>
        <w:t>Enfin, le recourant estime choquant le revirement drastique des instances cantonales suite à sa requête tendant à l'instauration de l'autorité parentale conjointe dans la mesure où aucun fait nouveau n'était intervenu.</w:t>
      </w:r>
    </w:p>
    <w:p>
      <w:r>
        <w:rPr>
          <w:b/>
        </w:rPr>
        <w:t>E. 5.1</w:t>
      </w:r>
    </w:p>
    <w:p>
      <w:r>
        <w:t>L' 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 art. 273 al. 1 CC est désormais conçu comme un droit-devoir réciproque qui sert en premier lieu les intérêts de l'enfant ( ATF 131 III 209 consid. 5; arrêts 5A_728/2015 du 25 août 2016 consid. 2.2; 5A_422/2015 du 10 février 2016 consid. 4.2 non publié aux ATF 142 III 193 ; 5A_756/2013 du 9 janvier 2014 consid. 5.1.2, publié in FamPra.ch 2014 p. 433). A cet égard, il est unanimement reconnu que le rapport de l'enfant avec ses deux parents est essentiel et qu'il peut jouer un rôle décisif dans le processus de recherche d'identité de l'enfant ( ATF 127 III 295 consid. 4a; 123 III 445 consid. 3c; arrêt 5A_586/2012 du 12 décembre 2012 consid. 4.2).</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 art. 274 al. 2 CC ).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w:t>
      </w:r>
    </w:p>
    <w:p>
      <w:r>
        <w:t>ultima ratio et ne peut être ordonné, dans l'intérêt de l'enfant, que si les effets négatifs des relations personnelles ne peuvent être maintenus dans des limites supportables pour l'enfant ( ATF 120 II 229 consid. 3b/aa; arrêts 5A_184/2017 du 9 juin 2017 consid. 4.1; 5A_53/2017 du 23 mars 2017 consid. 5.1 et les références; 5A_699/2007 du 26 février 2008 consid. 2.1, publié in FamPra.ch 2008 p. 695). Si, en revanche, le préjudice engendré pour l'enfant par les relations personnelles peut être limité par la mise en oeuvre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ATF 122 III 404 consid. 3c; arrêts 5A_728/2015 du 25 août 2016 consid. 2.2; 5A_120/2013 du 23 mai 2013 consid. 2.1.3; 5A_92/2009 du 22 avril 2009 consid. 2, publié in FamPra.ch 2009 p. 786; 5A_699/2007 consid. 2.1 précité; 5C.170/2001 du 31 août 2001 consid. 3c, publié in FamPra.ch 2002 p. 389).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5A_184/2017 précité consid. 4.1 et la référence).</w:t>
      </w:r>
    </w:p>
    <w:p>
      <w:r>
        <w:t>L'établissement d'un droit de visite surveillé nécessite des indices concrets de mise en danger du bien de l'enfant; il ne suffit pas que ce dernier risque abstraitement de subir une mauvaise influence pour qu'un tel droit de visite soit instauré (arrêts 5A_184/2017 précité; 5A_401/2014 du 18 août 2014 consid. 3.2.2 et les références; 5A_699/2007 consid. 2.1 précité; 5P.131/2006 du 25 août 2006 consid. 3, publié in FamPra.ch 2007 p. 167). Il convient dès lors de faire preuve d'une certaine retenue lors du choix de cette mesure (arrêts 5A_184/2017 précité; 5A_401/2014 précité consid. 3.2.2; 5A_699/2007 précité consid. 2.1).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 5A_184/2017 précité; 5A_728/2015 précité consid. 2.2 et les références). Un droit de visite surveillé limité dans le temps dans la perspective qu'il soit ensuite assoupli progressivement est compatible avec le bien de l'enfant (arrêt 5A_102/2017 du 13 septembre 2017 consid. 4 et l'arrêt cité).</w:t>
      </w:r>
    </w:p>
    <w:p>
      <w:r>
        <w:t>L'appréciation des circonstances de fait pour fixer le droit aux relations personnelles des art. 273 et 274 CC ,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arrêts 5A_53/2017 précité consid. 5.1; 5A_22/2017 du 27 février 2017 consid. 3.1.3; 5A_422/2015 précité consid. 4.2</w:t>
      </w:r>
    </w:p>
    <w:p>
      <w:r>
        <w:t>in fine non publié aux ATF 142 III 193 ).</w:t>
      </w:r>
    </w:p>
    <w:p>
      <w:r>
        <w:rPr>
          <w:b/>
        </w:rPr>
        <w:t>E. 5.2</w:t>
      </w:r>
    </w:p>
    <w:p>
      <w:r>
        <w:t>La Chambre de surveillance a retenu que les enfants étaient pris dans un conflit de loyauté tel que leur développement psychique et moral en était compromis. Il ressortait de l'expertise familiale sur laquelle s'était fondé le TPAE que la cause principale, voire essentielle, de l'état préoccupant des enfants, et en particulier de l'enfant C.________, était liée aux troubles de la personnalité paranoïaque dont souffrait le recourant. Comme le relevaient les expertes, qui pouvaient être suivies sur ce point, l'intérêt des enfants et leur besoin de protection nécessitaient en l'état qu'une distance soit mise à l'égard de leur père, de manière à leur permettre de retrouver une certaine stabilité et sérénité en les protégeant du conflit de loyauté dans lequel ils étaient plongés. Contrairement à ce que soutenait le recourant, la mesure querellée n'était pas disproportionnée. En effet, d'une part, elle était limitée dans le temps et donc susceptible d'évoluer en fonction notamment de la prise de conscience et du suivi thérapeutique requis du recourant. Il appartenait donc à ce dernier d'entreprendre les démarches thérapeutiques nécessaires pour que le réexamen de la situation, d'ores et déjà sollicité par le TPAE au SPMi, aboutisse à une évolution favorable. D'autre part, le recourant perdait de vue que l'appréciation de la proportionnalité de la mesure devait surtout se faire eu égard au besoin de protection des enfants. Or, il ressortait notamment des conclusions de l'expertise qu'il n'y avait, à ce stade, pas de mesure moins incisive que celle consistant en la suppression de tout contact entre le père et les enfants, hormis une heure de droit de visite par mois par le biais d'une institution, l'état des enfants étant tel que tout contact plus fréquent devait être à ce stade considéré comme potentiellement dangereux pour leur développement.</w:t>
      </w:r>
    </w:p>
    <w:p>
      <w:r>
        <w:rPr>
          <w:b/>
        </w:rPr>
        <w:t>E. 5.3</w:t>
      </w:r>
    </w:p>
    <w:p>
      <w:r>
        <w:t>Le recourant ne conteste pas le constat des expertes - repris par la Chambre de surveillance - selon lequel les enfants, spécialement C.________, sont mis en danger par le conflit parental. Il réfute toutefois la conclusion selon laquelle leur état est principalement dû à ses troubles de type paranoïaque. En tant qu'il affirme qu'il ne s'est jamais montré violent à leur égard et ne nuit pas à leur bon développement, de sorte qu'il n'y a pas lieu de les éloigner de lui, il ne fait qu'opposer de manière irrecevable sa propre appréciation de son comportement à l'égard des enfants à celle des expertes, reprise par la cour cantonale. Il ressort en particulier du rapport d'expertise que la mise en danger des enfants n'est pas seulement hypothétique puisque les expertes ont fait état de troubles émotionnels chez ceux-ci allant même jusqu'à identifier chez C.________ de la tristesse, du désarroi, des " ruminations anxieuses " et des " idées de mort passive ", l'enfant peinant à se projeter dans le futur ou s'y projetant en étant seul, affranchi de toute relation. Or, selon les expertes, cet état des enfants a été induit par le trouble de la personnalité identifié chez le recourant qui entrave ses capacités parentales et par le fait qu'il implique les enfants, principalement C.________, dans sa relation propre à son ex-compagne. Le recourant ne parvient par ailleurs pas à valablement remettre en cause les constatations des expertes qui laissent entendre que la mise en danger des enfants pourrait encore prendre de l'ampleur si les mesures préconisées ne sont pas mises en place. En effet, selon les expertes, l'état psychique fragile du recourant et la perte de contrôle sur sa situation pourrait l'amener à se désorganiser et à montrer un état de dangerosité envers sa famille, celles-ci allant même jusqu'à affirmer que, lors de moments d'angoisse majeure et de désorganisation psychique, le recourant pourrait se trouver dans un état de dissociation telle qu'il pourrait " passer à l'acte ". De surcroît, rien ne permet non plus de s'écarter du constat des expertes selon lequel il souffrirait notamment d'un manque d'empathie et d'une incapacité à se remettre en question, de sorte qu'il parviendrait à fonctionner de façon générale en société et dans son travail mais montrerait des difficultés d'ordre relationnel dans ses liens affectifs plus intimes. Or, on se trouve précisément en l'espèce dans la situation de perte de contrôle identifiée par les expertes dans la mesure où la présente procédure a pour objet la restriction des droits parentaux du recourant. Une telle situation représente un danger suffisamment concret pour les enfants justifiant la mesure ordonnée au regard du principe de proportionnalité.</w:t>
      </w:r>
    </w:p>
    <w:p>
      <w:r>
        <w:t>En résumé, le fait que le droit de visite du recourant doive temporairement s'exercer à l'intérieur des locaux du Centre G.________, seul endroit neutre en mesure de garantir le mieux possible l'exercice dudit droit, ne viole pas le principe de proportionnalité. En effet, d'une part, il ressort du rapport d'expertise - non valablement remis en cause sur ce point -, qu'aucune mesure moins incisive ne permet en l'état de préserver les enfants à la fois du conflit parental et du fonctionnement psychique de leur père et, d'autre part, que tout contact plus fréquent que celui préconisé par les expertes représenterait, à ce stade, un danger pour leur développement. Par ailleurs, la cour cantonale a d'ores et déjà précisé que la mesure était limitée dans le temps et qu'elle devrait évoluer en fonction de la prise de conscience et du suivi thérapeutique attendus du recourant. En cela, elle a suivi les conclusions des expertes qui préconisaient que les visites aient lieu, dans un premier temps, une fois par mois pendant une heure, puis deux fois par mois pendant une heure et, si l'évolution était favorable, une demi-journée puis avec les nuits. Il ressort au demeurant du chiffre 3 du dispositif de l'ordonnance du 22 mars 2017 du TPAE, confirmé par la décision de la Cour de justice du 7 août 2017, que la situation pourra être revue sur le vu des conclusions du SPMi, dont le rapport est attendu à bref délai.</w:t>
      </w:r>
    </w:p>
    <w:p>
      <w:r>
        <w:t>Partant, sur le vu de ce qui précède, force est de constater que les art. 273 al. 1 et 274 al. 2 CC n'ont pas été violés par l'autorité cantonale.</w:t>
      </w:r>
    </w:p>
    <w:p>
      <w:r>
        <w:rPr>
          <w:b/>
        </w:rPr>
        <w:t>E. 6</w:t>
      </w:r>
    </w:p>
    <w:p>
      <w:r>
        <w:t>En définitive, le recours est rejeté dans la mesure de sa recevabilité aux frais de son auteur ( art. 66 al. 1 LTF ). Il n'y a pas lieu d'allouer de dépens à l'intimée qui ne s'est pas déterminée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