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698/2022 vom 16. März 2023</w:t>
      </w:r>
    </w:p>
    <w:p>
      <w:r>
        <w:t>Bundesgericht, 2023-03-16, FR</w:t>
      </w:r>
    </w:p>
    <w:p>
      <w:r>
        <w:rPr>
          <w:b/>
        </w:rPr>
        <w:t xml:space="preserve">Quelle: </w:t>
      </w:r>
      <w:r>
        <w:t>https://mcp.opencaselaw.ch/entscheid/bger_5A_698_2022</w:t>
      </w:r>
    </w:p>
    <w:p>
      <w:r>
        <w:t>FR: TF 5A 698/2022 du 16 mars 2023</w:t>
      </w:r>
    </w:p>
    <w:p>
      <w:r>
        <w:t>IT: TF 5A 698/2022 del 16 marzo 2023</w:t>
      </w:r>
    </w:p>
    <w:p>
      <w:pPr>
        <w:pStyle w:val="Heading2"/>
      </w:pPr>
      <w:r>
        <w:t>Regeste</w:t>
      </w:r>
    </w:p>
    <w:p>
      <w:r>
        <w:t>contributions d'entretien (parents non mariés) | Droit de la famille</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finale ( art. 90 LTF ) rendue sur recours par une autorité supérieure statuant en dernière instance cantonale ( art. 75 al. 1 et 2 LTF ), dans une affaire civile ( art. 72 al. 1 LTF ) de nature pécuniaire, dont la valeur litigieuse requise est atteinte (art. 51 al. 1 let. a, 51 al. 4 et 74 al. 1 let. b LTF). Le recours est donc en principe recevable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147 I 73 consid. 2.1; 146 III 303 consid. 2;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144 III 93 consid. 5.2.2; 140 III 264 consid. 2.3), doit, sous peine d'irrecevabilité, satisfaire au principe d'allégation susmentionné ( art. 106 al. 2 LTF ; cf. supra consid. 2.1; ATF 147 I 73 consid. 2.2; 146 IV 88 consid. 1.3.1).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Le recourant se plaint d'une constatation des faits et d'une appréciation des preuves manifestement inexactes ( art. 9 Cst. ) ainsi que de la violation des art. 276 et 285 CC . Il soutient en substance qu'il serait arbitraire de retenir que les frais de garde de l'enfant seraient pris en charge par l'Hospice général, et non par une assurance-maladie ou invalidité, et qu'il serait erroné d'admettre les frais concernés dans les charges de l'enfant.</w:t>
      </w:r>
    </w:p>
    <w:p>
      <w:r>
        <w:rPr>
          <w:b/>
        </w:rPr>
        <w:t>E. 3.1</w:t>
      </w:r>
    </w:p>
    <w:p>
      <w:r>
        <w:t>Dans l'arrêt querellé, l'autorité cantonale a retenu que l'enfant B.________ souffrait d'un retard du développement ainsi que de troubles du spectre de l'autisme et qu'il résultait de diverses attestations produites en première instance qu'une intégration en crèche régulière et à plein temps favoriserait l'émergence de ses compétences dans les domaines de la communication, du langage et sur les plans moteur et relationnel. Faute de place en crèche, B.________ était pris en charge deux jours par semaine par une accueillante familiale autorisée et le coût de la prise en charge avait été de 210 fr. par mois entre janvier et juillet 2021. Par ailleurs, selon une attestation établie par l'Association G.________, les frais liés à la prise en charge de B.________ devaient augmenter à 648 fr. par mois dès le mois de septembre 2021. La mère n'avait produit aucune facture à ce titre devant le premier juge mais, en appel, elle avait allégué que les frais de garde s'élevaient à environ 500 fr. et avait produit trois factures, de respectivement 501 fr. 50, 562 fr. et 703 fr. 50, que l'Association G.________ lui avait adressées pour les frais de prise en charge de B.________. durant les mois de septembre à novembre 2021. Par ailleurs, il résultait d'une attestation du 7 octobre 2021 du Service de psychiatrie de l'enfant et de l'adolescent des HUG que le financement des frais de garde de l'enfant était assumé par la mère et non par une assurance-maladie ou invalidité et qu'une place en crèche ordinaire ou dans une structure de soins spécialisés ne serait pas disponible avant le mois d'août 2022. Le 21 décembre 2021, l'Association H.________ avait en outre attesté que les frais de garde de l'enfant étaient pris en charge par l'Hospice général, l'assurance invalidité ne finançant pas ce genre de coûts. Les juges cantonaux ont estimé qu'il se justifiait d'inclure dans le budget de l'enfant les frais de sa prise en charge par une accueillante familiale de jour, puisque rien ne permettait d'admettre qu'ils seraient couverts par une assurance, et ont retenu que les frais concernés étaient vraisemblablement pris en charge par l'Hospice général et que l'aide sociale était subsidiaire aux obligations relevant du droit de la famille.</w:t>
      </w:r>
    </w:p>
    <w:p>
      <w:r>
        <w:rPr>
          <w:b/>
        </w:rPr>
        <w:t>E. 3.2</w:t>
      </w:r>
    </w:p>
    <w:p>
      <w:r>
        <w:t>En l'espèce, le recourant ne soutient pas que l'obligation de prise en charge des frais de garde de l'enfant par une assurance découlerait de la loi et n'explique pas valablement pour quel autre motif tel devrait être le cas. Par ailleurs, les diverses attestations figurant au dossier et dont l'autorité cantonale a fait état permettaient de retenir le fait litigieux. La cour cantonale n'a dès lors pas versé dans l'arbitraire en admettant la prise en charge des frais de garde par l'Hospice général. En outre, en tant que le recourant affirme que le paiement effectif des frais de garde n'aurait pas été prouvé, il ne démontre pas que le raisonnement de l'autorité cantonale fondé sur la prise en compte des factures et des attestations mentionnées dans l'arrêt querellé serait insoutenable. Le grief d'établissement arbitraire des faits doit, partant, être rejeté dans la mesure de sa recevabilité, ce qui scelle le sort de celui de violation du droit, fondé sur des faits non établis.</w:t>
      </w:r>
    </w:p>
    <w:p>
      <w:r>
        <w:rPr>
          <w:b/>
        </w:rPr>
        <w:t>E. 4</w:t>
      </w:r>
    </w:p>
    <w:p>
      <w:r>
        <w:t>Le recourant reproche à la cour cantonale d'avoir violé les art. 276 et 285 CC s'agissant de la répartition de l'excédent par grandes et petites têtes.</w:t>
      </w:r>
    </w:p>
    <w:p>
      <w:r>
        <w:rPr>
          <w:b/>
        </w:rPr>
        <w:t>E. 4.1</w:t>
      </w:r>
    </w:p>
    <w:p>
      <w:r>
        <w:t>Dans la décision entreprise, la cour cantonale a relevé que la question d'une éventuelle contribution de prise en charge ( art. 285 al. 2 CC ) n'avait pas été examinée par le premier juge et que cela n'avait à juste titre pas été remis en cause, l'absence de ressources propres de la mère n'apparaissant pas liée à la prise en charge de ses enfants. En effet, B.________ fréquentait la crèche deux jours par semaine et son demi-frère, âgé de 12 ans, était scolarisé. La juridiction précédente a retenu qu'après couverture des besoins de l'enfant, le père bénéficiait encore d'un solde de 390 fr. du en 2020 au août 2024, de 980 fr. du 1er septembre 2024 au 31 mai 2030, et de 780 fr. dès le 1er juin 2030. Elle a considéré que l'enfant pouvait participer à cet excédent à raison d'un cinquième et que la pension alimentaire due par le père en sa faveur serait arrêtée aux montants arrondis, allocations familiales non comprises, de 1'000 fr. (915 fr. + 1/5 de 390 fr.) du en 2020 au 31 août 2024, de 520 fr. (325 fr. + 1/5 de 980 fr.) du 1er septembre 2024 au 31 mai 2030, puis de 700 fr. (525 fr. + 1/5 de 780 fr.) dès le 1er juin 2030 jusqu'à sa majorité, voire au-delà, en cas de formation ou d'études sérieuses et régulières.</w:t>
      </w:r>
    </w:p>
    <w:p>
      <w:r>
        <w:rPr>
          <w:b/>
        </w:rPr>
        <w:t>E. 4.2</w:t>
      </w:r>
    </w:p>
    <w:p>
      <w:r>
        <w:t>Selon le recourant, dès lors qu'aucune contribution de prise en charge ni part à l'excédent ne seraient dues à la mère, il conviendrait par analogie de ne pas attribuer de part à l'excédent à l'enfant B.________ et de fixer la contribution d'entretien à hauteur des seules charges de celui-ci. Cela étant, le recourant ne démontre pas en quoi la question de la répartition de l'excédent en faveur de l'enfant ne serait pas distincte de celles de la contribution de prise en charge et de l'éventuelle participation de la mère à l'excédent et, par ailleurs, il n'explique pas valablement pour quel motif les circonstances d'espèce commanderaient de déroger à la répartition usuelle de l'excédent " par grandes et petites têtes " (cf. ATF 147 III 265 consid. 7). Par conséquent, le grief est rejeté dans la mesure où il est recevable.</w:t>
      </w:r>
    </w:p>
    <w:p>
      <w:r>
        <w:rPr>
          <w:b/>
        </w:rPr>
        <w:t>E. 5</w:t>
      </w:r>
    </w:p>
    <w:p>
      <w:r>
        <w:t>Finalement, en tant que le recourant conclut à ce que l'intimée soit condamnée au paiement des frais de première instance et d'appel, il ne motive pas sa conclusion, de sorte qu'il n'y pas lieu d'entrer en matière. Par ailleurs, le rejet du recours scellerait le sort de cette question.</w:t>
      </w:r>
    </w:p>
    <w:p>
      <w:r>
        <w:rPr>
          <w:b/>
        </w:rPr>
        <w:t>E. 6</w:t>
      </w:r>
    </w:p>
    <w:p>
      <w:r>
        <w:t>En définitive, le recours est rejeté dans la mesure de sa recevabilité. Les frais judiciaires sont mis à la charge du recourant, qui succombe ( art. 66 al. 1 LTF ). Il n'est pas alloué de dépens aux intimés, qui n'ont pas été invités à se déterminer sur le fond et qui ont partiellement succombé s'agissant de l'effet suspensif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