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5A_698/2021 vom 2. September 2021</w:t>
      </w:r>
    </w:p>
    <w:p>
      <w:r>
        <w:t>Bundesgericht, 2021-09-02, DE</w:t>
      </w:r>
    </w:p>
    <w:p>
      <w:r>
        <w:rPr>
          <w:b/>
        </w:rPr>
        <w:t xml:space="preserve">Quelle: </w:t>
      </w:r>
      <w:r>
        <w:t>https://mcp.opencaselaw.ch/entscheid/bger_5A_698_2021</w:t>
      </w:r>
    </w:p>
    <w:p>
      <w:r>
        <w:t>FR: TF 5A_698/2021 du 2 septembre 2021</w:t>
      </w:r>
    </w:p>
    <w:p>
      <w:r>
        <w:t>IT: TF 5A_698/2021 del 2 settembre 2021</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Dabei genügt ein Verweis auf die kantonalen Eingaben nicht; die Begründung hat in der Beschwerdeschrift selbst zu erfolgen ( Art. 42 Abs. 2 BGG ; BGE 133 II 396 E. 3.1 S. 400; 140 III 115 E. 2 S. 116).</w:t>
      </w:r>
    </w:p>
    <w:p>
      <w:r>
        <w:rPr>
          <w:b/>
        </w:rPr>
        <w:t>E. 2</w:t>
      </w:r>
    </w:p>
    <w:p>
      <w:r>
        <w:t>Die 166-seitige Beschwerde besteht aus Kopien sämtlicher Aktenstücke des Verfahrens, welche jeweils kommentiert werden. Anfechtungsobjekt im bundesgerichtlichen Verfahren bildet jedoch einzig der letztinstanzliche kantonale Entscheid ( Art. 75 Abs. 1 BGG ). Dieser äussert sich ausführlich zu den möglichen rechtlichen Grundlagen einer Löschung und verneint sämtliche Möglichkeiten einer Löschung auf einseitiges Begehren. Zwar wird auf S. 158-160 der Beschwerde auf den angefochtenen Entscheid Bezug genommen. Allerdings werden die eigenen Sachverhaltsbehauptungen in rein appellatorischer und damit unzulässiger Form erhoben. In rechtlicher Hinsicht beschränken sich die Beschwerdeführer auf eine lose Kommentierung und Kritisierung des Entscheides, ohne dass auch nur ansatzweise aufgezeigt würde, inwiefern dieser Recht verletzen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