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5A_698/2016 vom 6. Dezember 2016</w:t>
      </w:r>
    </w:p>
    <w:p>
      <w:r>
        <w:t>Bundesgericht, 2016-12-06, DE</w:t>
      </w:r>
    </w:p>
    <w:p>
      <w:r>
        <w:rPr>
          <w:b/>
        </w:rPr>
        <w:t xml:space="preserve">Quelle: </w:t>
      </w:r>
      <w:r>
        <w:t>https://mcp.opencaselaw.ch/entscheid/bger_5A_698_2016</w:t>
      </w:r>
    </w:p>
    <w:p>
      <w:r>
        <w:t>FR: TF 5A_698/2016 du 6 décembre 2016</w:t>
      </w:r>
    </w:p>
    <w:p>
      <w:r>
        <w:t>IT: TF 5A_698/2016 del 6 dicembre 2016</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Als Betriebenem steht dem Beschwerdeführer ein schutzwürdiges Interesse an der Anfechtung des vorinstanzlichen Beschlusses zu ( Art. 76 Abs. 1 lit. b BGG ). Auf die fristgerecht eingereichte Beschwerde ist grundsätzlich einzutreten.</w:t>
      </w:r>
    </w:p>
    <w:p>
      <w:r>
        <w:rPr>
          <w:b/>
        </w:rPr>
        <w:t>E. 1.2</w:t>
      </w:r>
    </w:p>
    <w:p>
      <w:r>
        <w:t>Mit der Beschwerde in Zivilsachen kann u.a. die Verletzung von Bundesrecht gerügt werden ( Art. 95 lit. a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f.).</w:t>
      </w:r>
    </w:p>
    <w:p>
      <w:r>
        <w:rPr>
          <w:b/>
        </w:rPr>
        <w:t>E. 2</w:t>
      </w:r>
    </w:p>
    <w:p>
      <w:r>
        <w:t>Der Beschwerdeführer moniert die Zustellungskosten des Zahlungsbefehls von Fr. 8.-- (zusätzlich zur Gebühr für den Erlass, die doppelte Ausfertigung, die Eintragung und die Zustellung des Zahlungsbefehls gemäss Art. 16 Abs. 1 GebV SchKG [Fr. 20.--] und den Auslagen gemäss Art. 13 Abs. 1 GebV SchKG für die Rücksendung des Gläubigerdoppels [Fr. 5.30]) und macht geltend, das Betreibungsamt hätte ihm vorab ermöglichen müssen, den Zahlungsbefehl auf dem Amt abzuholen.</w:t>
      </w:r>
    </w:p>
    <w:p>
      <w:r>
        <w:rPr>
          <w:b/>
        </w:rPr>
        <w:t>E. 2.1</w:t>
      </w:r>
    </w:p>
    <w:p>
      <w:r>
        <w:t>Die Zustellung des Zahlungsbefehls erfolgt gemäss Art. 72 Abs. 1 SchKG durch den Betreibungsbeamten, einen Angestellten des Amtes oder durch die Post. Dem Betriebenen steht kein Anspruch auf Erhalt einer vorgängigen Abholungseinladung für den Zahlungsbefehl zu. Ebensowenig ist dieser verpflichtet, den Zahlungsbefehl auf dem Amt entgegenzunehmen. Der Versuch, den Zahlungsbefehl mittels einer Abholungseinladung auf dem Amt zuzustellen, ist bundesrechtlich nicht zu beanstanden ( BGE 138 III 25 E. 2.1 S. 26; 136 III 155 E. 3.1 S. 156). Auf welche Weise das Amt bei der Zustellung des Zahlungsbefehls vorgehen will, entscheidet es im konkreten Fall. Es hat eine Amtshandlung beförderlich vorzunehmen und dabei auch die Interessen der Gläubiger zu wahren (Urteile 5A_49/2014 vom 18. Februar 2014 E. 2.2; 5A_909/2012 vom 19. Februar 2013 E. 2.2).</w:t>
      </w:r>
    </w:p>
    <w:p>
      <w:r>
        <w:rPr>
          <w:b/>
        </w:rPr>
        <w:t>E. 2.2</w:t>
      </w:r>
    </w:p>
    <w:p>
      <w:r>
        <w:t>Was der Beschwerdeführer gegen diese Rechtsprechung vorbringt, gibt keinen Anlass von ihr abzukehren. Nicht stichhaltig ist namentlich das Argument, er habe gar nie verlangt, dass ihm der Zahlungsbefehl an der Haustür abgegeben werde, zumal es sich dabei um eine gesetzlich vorgesehene Amtshandlung handelt.</w:t>
      </w:r>
    </w:p>
    <w:p>
      <w:r>
        <w:rPr>
          <w:b/>
        </w:rPr>
        <w:t>E. 2.3</w:t>
      </w:r>
    </w:p>
    <w:p>
      <w:r>
        <w:t>Es ist nach dem Gesagten nicht zu beanstanden, dass sich das Betreibungsamt für die Zustellung des Zahlungsbefehls durch die Post entschieden und dabei die Dienstleistung "Betreibungsurkunde BU" (Preis: Fr. 8.--) gewählt hat. Sodann entspricht es der Gebührenverordnung zum SchKG sowie der dazu ergangenen bundesgerichtlichen Rechtsprechung, dass die dadurch entstandenen Kosten ersatzpflichtige Auslagen darstellen ( Art. 13 Abs. 1 GebV SchKG ). Diese sind mithin nicht bereits durch die Gebühr gemäss Art. 16 Abs. 1 GebV SchKG abgegolten, worauf das Bundesgericht den Beschwerdeführer bereits mehrfach hingewiesen hat (vgl. BGE 138 III 25 E. 2.2.1 S. 27; 136 III 155 E. 3.3.2 S. 158; Urteile 5A_49/2014 vom 18. Februar 2014 E. 2.2; 5A_715/2013 vom 28. November 2013 E. 2.2).</w:t>
      </w:r>
    </w:p>
    <w:p>
      <w:r>
        <w:rPr>
          <w:b/>
        </w:rPr>
        <w:t>E. 2.4</w:t>
      </w:r>
    </w:p>
    <w:p>
      <w:r>
        <w:t>Die weiteren Auslagen von Fr. 5.30 für die eingeschriebene Rücksendung des Zahlungsbefehlsdoppels an den Gläubiger waren bereits im kantonalen Verfahren unbestritten, weshalb die Höhe dieser Kosten vorliegend nicht zu beurteilen ist.</w:t>
      </w:r>
    </w:p>
    <w:p>
      <w:r>
        <w:rPr>
          <w:b/>
        </w:rPr>
        <w:t>E. 3</w:t>
      </w:r>
    </w:p>
    <w:p>
      <w:r>
        <w:t>Soweit der Beschwerdeführer zudem allgemeine Kritik an der Arbeitsweise des Betreibungsamtes und der Besoldung seiner Mitarbeiter äussert, kann darauf nicht eingegangen werden. Gegenstand des vorliegenden Verfahrens bildet einzig die konkrete Verfügung des Betreibungsamtes.</w:t>
      </w:r>
    </w:p>
    <w:p>
      <w:r>
        <w:rPr>
          <w:b/>
        </w:rPr>
        <w:t>E. 4</w:t>
      </w:r>
    </w:p>
    <w:p>
      <w:r>
        <w:t>Nach dem Gesagten ist der Beschwerde kein Erfolg beschieden.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