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5A_697/2010 vom 11. November 2010</w:t>
      </w:r>
    </w:p>
    <w:p>
      <w:r>
        <w:t>Bundesgericht, 2010-11-11, DE</w:t>
      </w:r>
    </w:p>
    <w:p>
      <w:r>
        <w:rPr>
          <w:b/>
        </w:rPr>
        <w:t xml:space="preserve">Quelle: </w:t>
      </w:r>
      <w:r>
        <w:t>https://mcp.opencaselaw.ch/entscheid/bger_5A_697_2010</w:t>
      </w:r>
    </w:p>
    <w:p>
      <w:r>
        <w:t>FR: TF 5A_697/2010 du 11 novembre 2010</w:t>
      </w:r>
    </w:p>
    <w:p>
      <w:r>
        <w:t>IT: TF 5A_697/2010 del 11 novembre 2010</w:t>
      </w:r>
    </w:p>
    <w:p>
      <w:pPr>
        <w:pStyle w:val="Heading2"/>
      </w:pPr>
      <w:r>
        <w:t>Erwägungen</w:t>
      </w:r>
    </w:p>
    <w:p>
      <w:r>
        <w:rPr>
          <w:b/>
        </w:rPr>
        <w:t>E. 1.1</w:t>
      </w:r>
    </w:p>
    <w:p>
      <w:r>
        <w:t>Angefochten ist ein letztinstanzlicher Entscheid ( Art. 75 Abs. 1 BGG ) über die Weiterziehung eines Arresteinspracheentscheides; er betrifft eine Schuldbetreibungs- und Konkurssache, die mit Beschwerde in Zivilsachen an das Bundesgericht weitergezogen werden kann ( Art. 72 Abs. 2 lit. a BGG ), zumal der Streitwert von Fr. 30'000.-- offensichtlich überschritten ist ( Art. 74 Abs. 1 lit. b BGG ).</w:t>
      </w:r>
    </w:p>
    <w:p>
      <w:r>
        <w:rPr>
          <w:b/>
        </w:rPr>
        <w:t>E. 1.2</w:t>
      </w:r>
    </w:p>
    <w:p>
      <w:r>
        <w:t>Die dem vorliegenden Entscheid zugrunde liegende Weiterziehung ( Art. 278 Abs. 3 SchKG ) des Entscheides über die Einsprache gegen den Arrestbefehl ( Art. 278 Abs. 1 und 2 SchKG ) gilt wie der Arrestentscheid ( BGE 133 III 589 E. 1 S. 590 f.) als vorsorgliche Massnahme im Sinn von Art. 98 BGG ( BGE 135 III 232 E. 1.2 S. 234). Damit kann vorliegend einzig die Verletzung verfassungsmässiger Rechte gerügt werden ( Art. 98 BGG ).</w:t>
      </w:r>
    </w:p>
    <w:p>
      <w:r>
        <w:t>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135 III 232 E. 1.2 S. 234; 134 II 244 E. 2.2 S. 246). In diesem Bereich kommt der Grundsatz der gerichtlichen Rechtsanwendung von Amtes wegen ( Art. 106 Abs. 1 BGG ) nicht zum Tragen ( BGE 133 III 589 E. 2 S. 591).</w:t>
      </w:r>
    </w:p>
    <w:p>
      <w:r>
        <w:rPr>
          <w:b/>
        </w:rPr>
        <w:t>E. 1.3</w:t>
      </w:r>
    </w:p>
    <w:p>
      <w:r>
        <w:t>Die Anwendung von Bundesrecht wird im Rahmen von Art. 98 BGG auf Willkür hin geprüft (vgl. BGE 116 II 625 E. 3b S. 628; Urteil 5A_261/2009 vom 1. September 2009 E. 1.2, nicht veröffentlicht in BGE 135 III 608 ). Willkür in der Rechtsanwendung erfordert, dass ein Entscheid offensichtlich unhaltbar ist, mit der tatsächlichen Situation in klarem Widerspruch steht, eine Norm oder einen 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zutreffender erscheint oder sogar vorzuziehen wäre, genügt nicht ( BGE 134 II 124 E. 4.1 S. 133; 133 III 462 E. 4.4.1 S. 470).</w:t>
      </w:r>
    </w:p>
    <w:p>
      <w:r>
        <w:rPr>
          <w:b/>
        </w:rPr>
        <w:t>E. 1.4</w:t>
      </w:r>
    </w:p>
    <w:p>
      <w:r>
        <w:t>Schliesslich ist der Beschwerdeführer zur Anfechtung des ihn betreffenden Nichteintretensentscheids legitimiert ( Art. 76 Abs. 1 BGG ; BGE 135 II 145 E. 3.1 S. 148).</w:t>
      </w:r>
    </w:p>
    <w:p>
      <w:r>
        <w:rPr>
          <w:b/>
        </w:rPr>
        <w:t>E. 2</w:t>
      </w:r>
    </w:p>
    <w:p>
      <w:r>
        <w:t>Das Obergericht ist mangels Rechtsschutzinteresses des Beschwerdeführers insofern nicht auf dessen Rekurs eingetreten, als er mit der Begründung, die Aktien der S.________ AG stünden im Eigentum seiner Ehefrau und seines Vaters, die Freigabe der Aktien erwirken wollte. Das Obergericht führt zur Begründung aus, der Beschwerdeführer sei nicht in seinen Rechten betroffen, wenn Vermögenswerte Dritter mit Arrest belegt würden. Mit derselben Begründung trat das Obergericht nicht auf die Anträge des Beschwerdeführers ein, mit denen er die Aufhebung des Arrestbefehls bezüglich der formell im Eigentum der S.________ AG stehenden Liegenschaft "E.________" und der auf die S.________ AG lautenden Vermögenswerte bei der T.________ AG bewirken wollte.</w:t>
      </w:r>
    </w:p>
    <w:p>
      <w:r>
        <w:t>Der Beschwerdeführer erblickt im Nichteintreten des Obergerichts auf seinen Rekurs gegen den Arresteinspracheentscheid vom 18. März 2010 Willkür in der Anwendung des Art. 278 SchKG ( Art. 9 BV ), einen Verstoss gegen das Rechtsverweigerungsverbot ( Art. 29 Abs. 1 BV ) und schliesslich eine Verletzung des rechtlichen Gehörs ( Art. 29 Abs. 2 BV ).</w:t>
      </w:r>
    </w:p>
    <w:p>
      <w:r>
        <w:rPr>
          <w:b/>
        </w:rPr>
        <w:t>E. 3</w:t>
      </w:r>
    </w:p>
    <w:p>
      <w:r>
        <w:t>Gegen die Anordnung eines Arrestes kann jeder, der in seinen Rechten betroffen ist, beim Arrestrichter Einsprache erheben ( Art. 278 Abs. 1 SchKG ). Prozessgegenstand des Arresteinspracheverfahrens sind, nebst den üblichen Eintretensvoraussetzungen, die Arrestvoraussetzungen nach Art. 272 SchKG . Der Einsprecher kann nur rügen, der Arrestgläubiger habe nicht glaubhaft gemacht, dass die behauptete Forderung besteht ( Art. 272 Abs. 1 Ziff. 1 SchKG ), dass ein Arrestgrund vorliegt ( Art. 272 Abs. 1 Ziff. 2 SchKG ) oder dass Vermögensgegenstände vorhanden sind, die dem Schuldner gehören ( Art. 272 Abs. 1 Ziff. 3 SchKG ). Bestreitet der Schuldner, Eigentümer mit Arrestbeschlag versehener Vermögensgegenstände zu sein, so erfolgt die Abklärung der tatsächlichen Eigentumsverhältnisse im Widerspruchsverfahren (Art. 275 i.V.m. Art. 106-109 SchKG ; s. auch Urteile 5A_697/2008 vom 6. Mai 2009 E. 2.3 und 7B.207/2005 vom 29. November 2005 E. 2.3.4). Dieselben Grundsätze gelten sinngemäss für das Weiterziehungsverfahren im Sinne von Art. 278 Abs. 3 SchKG .</w:t>
      </w:r>
    </w:p>
    <w:p>
      <w:r>
        <w:t>Der Beschwerdeführer behauptet nicht, er habe vor den kantonalen Instanzen bestritten, dass der Beschwerdegegner das Vorhandensein von Vermögensgegenständen, die dem Beschwerdeführer gehören, in einer den Anforderungen von Art. 272 Abs. 1 Ziff. 3 SchKG genügenden Weise glaubhaft gemacht habe. Seine Ausführungen beschränken sich vielmehr und ausschliesslich auf die Bestreitung der Eigentumsverhältnisse als solche bzw. der Anwendung der Durchgriffstheorie. Diese Einwendungen können nach dem Gesagten im Einsprache- bzw. Weiterziehungsverfahren aber gerade nicht vorgebracht werden. Mithin erweist sich der Entscheid des Obergerichts, nicht auf den Rekurs des Beschwerdeführers einzutreten, jedenfalls im Ergebnis nicht als willkürlich (E. 1.3), auch wenn das Obergericht nicht mit dieser Begründung auf den Rekurs des Beschwerdegegners nicht eingetreten ist (E. 2.). Weil die Vorinstanz diese Begründung aber auch nicht ausdrücklich verworfen hat, kann sich das Bundesgericht, dessen Überprüfungsbefugnis in tatsächlicher und rechtlicher Hinsicht auf Willkür beschränkt ist, mit dieser Ersatzbegründung begnügen ( BGE 128 III 4 E. 4c/aa S. 7; Urteil 5A_652 vom 18. Januar 2010 E. 1.4). Damit werden die aus Art. 29 Abs. 1 und Abs. 2 BV abgeleiteten Rügen gegenstandslos, denn diesen kommt im vorgebrachten Rahmen keine selbständige Bedeutung zu.</w:t>
      </w:r>
    </w:p>
    <w:p>
      <w:r>
        <w:t>Ferner bringt der Beschwerdeführer vor, der Beschwerdegegner habe nicht glaubhaft gemacht, dass sich Aktien der S.________ AG am Arrestort (Liegenschaft "E.________") befänden. Indes führt er nicht aus, welches verfassungsmässige Recht inwiefern verletzt worden sein soll. Mithin kommt er seiner Rügepflicht nicht nach, sodass auf diesen Einwand nicht eingetreten werden kann (E. 1.2).</w:t>
      </w:r>
    </w:p>
    <w:p>
      <w:r>
        <w:t>Nicht einzutreten ist sodann auf die Rüge, das Betreibungsamt A.________ habe die Aktien der S.________ AG zu Unrecht in die Arresturkunde aufgenommen, weil sich in der Liegenschaft "E.________" keine Aktienzertifikate befänden. Dieser Einwand richtet sich nicht gegen den vom Arrestrichter erlassenen Arrestbefehl, sondern gegen dessen Vollzug durch das Betreibungsamt. Mithin macht der Beschwerdeführer damit eine Verletzung der beim Arrestvollzug zu beobachtenden Vorschriften geltend. Dafür steht die Beschwerde nach Art. 17 SchKG zur Verfügung ( BGE 88 III 140 E. 1 S. 141), nicht aber das Arresteinsprache- bzw. das Weiterziehungsverfahren.</w:t>
      </w:r>
    </w:p>
    <w:p>
      <w:r>
        <w:rPr>
          <w:b/>
        </w:rPr>
        <w:t>E. 4</w:t>
      </w:r>
    </w:p>
    <w:p>
      <w:r>
        <w:t>Nach dem Gesagten ist die Beschwerde abzuweisen, soweit darauf eingetreten werden kann. Der Beschwerdeführer unterliegt und wird kosten- ( Art. 66 Abs. 1 BGG ) und für sein Unterliegen im Verfahren um aufschiebende Wirkung entschädigungspflichtig ( Art. 68 Abs. 1 BGG ).</w:t>
      </w:r>
    </w:p>
    <w:p>
      <w:r>
        <w:t>Da der Beschwerdegegner sein Gesuch um Sicherstellung seiner Parteikosten erst in seiner Stellungnahme zum Gesuch um aufschiebende Wirkung gestellt hat, waren ihm für diesen Verfahrensabschnitt bereits Parteikosten entstanden, so dass das Gesuch diesbezüglich als gegenstandslos abzuschreiben ist ( BGE 118 II 87 E. 2 S. 88). Im Übrigen ist ihm kein entschädigungspflichtiger Aufwand entstanden; in diesem Umfang ist das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