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5A_696/2010 vom 21. Dezember 2010</w:t>
      </w:r>
    </w:p>
    <w:p>
      <w:r>
        <w:t>Bundesgericht, 2010-12-21, FR</w:t>
      </w:r>
    </w:p>
    <w:p>
      <w:r>
        <w:rPr>
          <w:b/>
        </w:rPr>
        <w:t xml:space="preserve">Quelle: </w:t>
      </w:r>
      <w:r>
        <w:t>https://mcp.opencaselaw.ch/entscheid/bger_5A_696_2010</w:t>
      </w:r>
    </w:p>
    <w:p>
      <w:r>
        <w:t>FR: TF 5A_696/2010 du 21 décembre 2010</w:t>
      </w:r>
    </w:p>
    <w:p>
      <w:r>
        <w:t>IT: TF 5A_696/2010 del 21 dicembre 2010</w:t>
      </w:r>
    </w:p>
    <w:p>
      <w:pPr>
        <w:pStyle w:val="Heading2"/>
      </w:pPr>
      <w:r>
        <w:t>Erwägungen</w:t>
      </w:r>
    </w:p>
    <w:p>
      <w:r>
        <w:rPr>
          <w:b/>
        </w:rPr>
        <w:t>E. 1.1</w:t>
      </w:r>
    </w:p>
    <w:p>
      <w:r>
        <w:t>Le recours a été interjeté dans le délai ( art. 100 al. 2 let. a LTF ) et la forme ( art. 42 LTF ) prévus par la loi, par une partie qui a pris part à la procédure devant l'autorité précédente ( art. 76 al. 1 let. a LTF ), contre une décision rendue en matière de poursuite pour dettes et de faillite ( art. 72 al. 2 let. a LTF ) par une autorité cantonale de dernière instance ( art. 75 al. 1 LTF ). Il est ainsi recevable au regard de ces dispositions, indépendamment de la valeur litigieuse ( art. 74 al. 2 let . c LTF).</w:t>
      </w:r>
    </w:p>
    <w:p>
      <w:r>
        <w:rPr>
          <w:b/>
        </w:rPr>
        <w:t>E. 1.2</w:t>
      </w:r>
    </w:p>
    <w:p>
      <w:r>
        <w:t>On peut se demander si l'avis de l'office du 19 mars 2010 constituait une décision attaquable, puisqu'il appert que des communications semblables avaient déjà été précédemment adressées au recourant. Il n'y a toutefois pas lieu de résoudre ce point car, ainsi qu'on le verra ci-après, le recours doit de toute manière être rejeté.</w:t>
      </w:r>
    </w:p>
    <w:p>
      <w:r>
        <w:rPr>
          <w:b/>
        </w:rPr>
        <w:t>E. 1.3</w:t>
      </w:r>
    </w:p>
    <w:p>
      <w:r>
        <w:t>La qualité pour former un recours en matière civile suppose que le recourant ait un intérêt juridique à l'annulation ou à la modification de la décision attaquée ( art. 76 al. 1 let. b LTF ; ATF 133 III 421 consid. 1.1 p. 425/426 et les références citées). Si le Tribunal fédéral examine d'office et librement la recevabilité des recours qui lui sont soumis ( ATF 133 III 439 consid. 2 p. 441), il incombe au recourant d'alléguer les faits qu'il considère comme propres à fonder sa qualité pour recourir lorsqu'ils ne ressortent pas à l'évidence de la décision attaquée ou du dossier de la cause, de telle sorte que le Tribunal fédéral puisse déterminer en quoi ladite décision porte atteinte à ses intérêts juridiques ( ATF 133 II 353 consid. 1 p. 356).</w:t>
      </w:r>
    </w:p>
    <w:p>
      <w:r>
        <w:t>Dans le cas particulier, le recourant demande l'annulation des opérations en cours et la radiation des poursuites dirigées contre lui. Son intérêt au recours paraît douteux au stade actuel. Vu l'issue du recours, cette question peut cependant rester indécise.</w:t>
      </w:r>
    </w:p>
    <w:p>
      <w:r>
        <w:rPr>
          <w:b/>
        </w:rPr>
        <w:t>E. 2</w:t>
      </w:r>
    </w:p>
    <w:p>
      <w:r>
        <w:t>Le recourant reproche à l'autorité cantonale d'avoir enfreint l' art. 122 al. 1 LP en considérant que l'inobservation du délai de deux mois prévu par cette disposition était dépourvue de toute sanction. Il expose que, selon les déclarations du représentant de l'office, tant lors de l'audience du 29 avril 2010 que dans ses déterminations du 1er juin 2010, la réalisation des tableaux a été prorogée car les conditions économiques qui prévalaient lors de la réception des réquisitions de vente n'étaient pas favorables. Un tel motif ne justifierait pas le dépassement du délai maximal de réalisation, dépassement qui ne serait dès lors pas excusable. Se référant aux art. 88 al. 2, 121, 171 et 270 LP, il soutient que le non-respect d'un délai, même d'ordre, n'est pas sans effets. La sanction ne pourrait être ici que la péremption des poursuites en cause et, partant, l'extinction des séquestres qu'elles ont validés.</w:t>
      </w:r>
    </w:p>
    <w:p>
      <w:r>
        <w:rPr>
          <w:b/>
        </w:rPr>
        <w:t>E. 2.1</w:t>
      </w:r>
    </w:p>
    <w:p>
      <w:r>
        <w:t>Selon l' art. 122 al. 1 LP , les biens meubles, y compris les créances, sont réalisés par l'office des poursuites dix jours au plus tôt et deux mois au plus tard à compter de la réception de la réquisition. Le délai maximal prévu par cette disposition est une prescription d'ordre (RÜETSCHI, KuKo SchKG, 2009, n. 18 ad art. 122 et les références), dont l'inobservation est sans effet sur la validité d'une réquisition de vente déposée en temps utile et n'a pas non plus de conséquences sur les droits de ceux qui bénéficient de cette réquisition (BETTSCHART, Commentaire romand, Poursuite et faillite, n. 11 in fine ad art. 119 LP ). Une fois effectuée, la réalisation ne peut en principe pas être attaquée pour le motif que le délai maximal de l' art. 122 LP n'a pas été respecté, faute d'intérêt juridiquement protégé: en effet, si la première réalisation devait être annulée, une seconde vente devrait avoir lieu, laquelle serait encore plus tardive (Suter, Basler Kommentar, Bundesgesetz über Schuldbetreibung und Konkurs, vol. I, 2e éd., n. 39 ad art. 122).</w:t>
      </w:r>
    </w:p>
    <w:p>
      <w:r>
        <w:t>Un retard injustifié ou l'inaction durable de l'office engage cependant cas échéant la responsabilité du canton ( art. 5 LP ) et la responsabilité disciplinaire du préposé, selon l' art. 14 al. 2 LP (Gilliéron, Commentaire de la loi fédérale sur la poursuite pour dettes et la faillite, art. 89-158, n. 11 ad art. 122; BETTSCHART, op. cit., n. 6 ad art. 122 LP ). Ce retard ou cette omission peuvent également faire l'objet d'une plainte à l'autorité de surveillance ( art. 17 al. 3 LP ), à tous le moins si le poursuivant peut justifier d'un intérêt actuel digne de protection (SUTER, op. cit., n. 39 ss ad art. 122; Gilliéron, op. cit., art. 1-88, n. 140 ss ad art. 17; BETTSCHART, op. cit., n. 6 ad art. 122 et n. 11 ad art. 119 LP ).</w:t>
      </w:r>
    </w:p>
    <w:p>
      <w:r>
        <w:rPr>
          <w:b/>
        </w:rPr>
        <w:t>E. 2.2</w:t>
      </w:r>
    </w:p>
    <w:p>
      <w:r>
        <w:t>En l'espèce, l'autorité cantonale considère que les réquisitions de vente ont été présentées par les poursuivants dans le délai de l' art. 116 LP et que les sursis dont a bénéficié le poursuivi sont devenus caducs d'office (art. 123 al. 5, 2e phrase, LP) à fin novembre 2008, ce que le recourant ne conteste pas. Selon les juges précédents, l'office a alors accordé un ultime sursis au débiteur puis a initié sans attendre, soit dès janvier 2009, une procédure de vente par l'intermédiaire d'entreprises spécialisées. Même si, en raison de la nature des biens à réaliser, le délai légal a été dépassé, ce retard n'a pas pour autant entraîné la nullité ou l'annulation des réquisitions de vente ou des poursuites; on ne peut pas non plus considérer que les poursuivants auraient renoncé à la vente, l'office n'ayant nullement été inactif.</w:t>
      </w:r>
    </w:p>
    <w:p>
      <w:r>
        <w:t>Ce faisant, la cour cantonale ne saurait se voir reprocher d'avoir violé le droit fédéral. Le recourant n'avance au demeurant aucun argument qui justifierait de s'écarter des principes mentionnés ci-dessus (cf. consid. 2.1), ce d'autant plus que son attitude en procédure a largement contribué à la survenance du retard invoqué. En particulier, les dispositions de la loi sur la poursuite pour dettes et la faillite auxquelles il se réfère ne sont en l'occurrence pas décisives. Il en va de même des déclarations de l'office, qu'il mentionne, relatives à la prorogation de la vente en raison de conditions économiques peu favorables.</w:t>
      </w:r>
    </w:p>
    <w:p>
      <w:r>
        <w:rPr>
          <w:b/>
        </w:rPr>
        <w:t>E. 3</w:t>
      </w:r>
    </w:p>
    <w:p>
      <w:r>
        <w:t>En conclusion, le recours apparaît mal fondé et doit par conséquent être rejeté, en tant qu'il est recevable. Le recourant, qui succombe, supportera dès lors les frais judiciaires ( art. 66 al. 1 LTF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