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695/2009 vom 21. Januar 2010</w:t>
      </w:r>
    </w:p>
    <w:p>
      <w:r>
        <w:t>Bundesgericht, 2010-01-21, DE</w:t>
      </w:r>
    </w:p>
    <w:p>
      <w:r>
        <w:rPr>
          <w:b/>
        </w:rPr>
        <w:t xml:space="preserve">Quelle: </w:t>
      </w:r>
      <w:r>
        <w:t>https://mcp.opencaselaw.ch/entscheid/bger_5A_695_2009</w:t>
      </w:r>
    </w:p>
    <w:p>
      <w:r>
        <w:t>FR: TF 5A 695/2009 du 21 janvier 2010</w:t>
      </w:r>
    </w:p>
    <w:p>
      <w:r>
        <w:t>IT: TF 5A 695/2009 del 21 gennaio 2010</w:t>
      </w:r>
    </w:p>
    <w:p>
      <w:pPr>
        <w:pStyle w:val="Heading2"/>
      </w:pPr>
      <w:r>
        <w:t>Regeste</w:t>
      </w:r>
    </w:p>
    <w:p>
      <w:r>
        <w:t>Ehescheidung (Unterhalt) | Familienrecht</w:t>
      </w:r>
    </w:p>
    <w:p>
      <w:pPr>
        <w:pStyle w:val="Heading2"/>
      </w:pPr>
      <w:r>
        <w:t>Erwägungen</w:t>
      </w:r>
    </w:p>
    <w:p>
      <w:r>
        <w:rPr>
          <w:b/>
        </w:rPr>
        <w:t>E. 1.1</w:t>
      </w:r>
    </w:p>
    <w:p>
      <w:r>
        <w:t>Angefochten sind Fr. 30'000.-- übersteigende vermögensrechtliche Folgen eines kantonal letztinstanzlichen Ehescheidungsurteils; die Voraussetzungen nach Art. 72 Abs. 1, Art. 74 Abs. 1 lit. b und Art. 75 Abs. 1 BGG sind gegeben. Indes hat das Obergericht keinen Endentscheid gefällt, sondern die Sache an das Bezirksgericht zur Durchführung eines Beweisverfahrens und der güterrechtlichen Auseinandersetzung zurückgewiesen. Rückweisungsentscheide gelten als Zwischenentscheide, es sei denn, der unteren Instanz, an welche die Sache zurückgewiesen wird, verbleibe kein Entscheidungsspielraum mehr und die Rückweisung diene nur noch der Umsetzung des oberinstanzlich Angeordneten ( BGE 134 II 124 E. 1.3 S. 127; Urteil 9C_684/2007 vom 27. Dezember 2007 E. 1.1 mit Hinweisen). Im vorliegenden Fall hat das Obergericht die Sache an das Bezirksgericht zur Ergänzung des Hauptverfahrens sowie zur Durchführung eines Beweisverfahrens und zu neuer Entscheidung zurückgewiesen. Entgegen der Auffassung des Beschwerdeführers hat sich die erste Instanz nicht ausschliesslich mit Fragen zu befassen, zu deren Beantwortung kein Beurteilungsspielraum verbliebe. Wie er selbst ausführt, dient die Rückweisung vielmehr der Durchführung eines Beweisverfahrens betreffend die Bewertung der Vermögenswerte und der güterrechtlichen Auseinandersetzung. Ausserdem ordnete das Obergericht an, die erste Instanz habe die Höhe der Verrechnungsforderung der Beschwerdegegnerin zu bestimmen. Damit beschränkt sich die Tätigkeit, zu welcher die erste Instanz angewiesen wird, nicht auf eine blosse (etwa rechnerische) Umsetzung des seitens des Obergerichts Angeordneten. Das angefochtene Urteil ist daher als Zwischenentscheid zu behandeln.</w:t>
      </w:r>
    </w:p>
    <w:p>
      <w:r>
        <w:rPr>
          <w:b/>
        </w:rPr>
        <w:t>E. 1.2</w:t>
      </w:r>
    </w:p>
    <w:p>
      <w:r>
        <w:t>Gegen selbständig eröffnete Vor- und Zwischenentscheide, welche nicht die Zuständigkeit oder den Ausstand betreffen, ist die Beschwerde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Dabei obliegt es dem Beschwerdeführer, darzutun, dass die Eintretensvoraussetzungen von Art. 93 BGG erfüllt sind, soweit deren Vorliegen nicht offensichtlich in die Augen springt ( BGE 134 III 426 E. 1.2 in fine S. 429; 133 III 629 E. 2.3.1 S. 632, E. 2.4.2 S. 633). Die Beschwerde enthält keine diesbezüglichen Ausführungen. Das Vorliegen der Voraussetzungen für die Anfechtbarkeit des obergerichtlichen Zwischenentscheids liegt auch nicht auf der Hand. Praxisgemäss droht bei einer Rückweisung der Sache zu neuer Abklärung und Entscheidung in der Regel kein nicht wieder gutzumachender Nachteil i.S.v. Art. 93 Abs. 1 lit. a BGG ( BGE 133 V 477 E. 5.2.2 S. 483, 645 E. 2.1 S. 647). Auch fehlt es an einem Beschwerdeantrag, der dem Bundesgericht erlauben würde, einen Endentscheid zu fällen ( Art. 93 Abs. 1 lit. b BGG ). Daher ist auf die Beschwerde nicht einzutreten.</w:t>
      </w:r>
    </w:p>
    <w:p>
      <w:r>
        <w:rPr>
          <w:b/>
        </w:rPr>
        <w:t>E. 2</w:t>
      </w:r>
    </w:p>
    <w:p>
      <w:r>
        <w:t>Bei diesem Verfahrensergebnis sind die Gerichtskosten dem Beschwerdeführer aufzuerlegen ( Art. 66 Abs.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