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5A_694/2023 vom 10. Dezember 2025</w:t>
      </w:r>
    </w:p>
    <w:p>
      <w:r>
        <w:t>Bundesgericht, 2025-12-10, DE</w:t>
      </w:r>
    </w:p>
    <w:p>
      <w:r>
        <w:rPr>
          <w:b/>
        </w:rPr>
        <w:t xml:space="preserve">Quelle: </w:t>
      </w:r>
      <w:r>
        <w:t>https://mcp.opencaselaw.ch/entscheid/bger_5A_694_2023</w:t>
      </w:r>
    </w:p>
    <w:p>
      <w:r>
        <w:t>FR: TF 5A_694/2023 du 10 décembre 2025</w:t>
      </w:r>
    </w:p>
    <w:p>
      <w:r>
        <w:t>IT: TF 5A_694/2023 del 10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Nachdem das Bundesgericht den angefochtenen Entscheid im parallelen Verfahren 1C_496/2023 mit Urteil vom 3. November 2025 aufgehoben und die Sache zur neuen Entscheidung an das Verwaltungsgericht zurückgewiesen hat, ist die gegen den gleichen Entscheid erhobene Beschwerde 5A_694/2023 gegenstandslos geworden und das betreffende Verfahren als erledigt abzuschreiben.</w:t>
      </w:r>
    </w:p>
    <w:p>
      <w:r>
        <w:rPr>
          <w:b/>
        </w:rPr>
        <w:t>E. 2</w:t>
      </w:r>
    </w:p>
    <w:p>
      <w:r>
        <w:t>Für die Verfahrensabschreibung zufolge Gegenstandslosigkeit ist der Abteilungspräsident zuständig ( Art. 32 Abs. 2 BGG ).</w:t>
      </w:r>
    </w:p>
    <w:p>
      <w:r>
        <w:rPr>
          <w:b/>
        </w:rPr>
        <w:t>E. 3</w:t>
      </w:r>
    </w:p>
    <w:p>
      <w:r>
        <w:t>Vorliegend steht aufgrund der besonderen Umstände - Gegenstandslosigkeit zufolge Aufhebung des angefochtenen Entscheides im parallelen Verfahren - nicht eine Verteilung der Prozesskosten aufgrund der Sachlage vor Eintritt des Erledigungsgrundes ( Art. 71 BGG i.V.m. Art. 72 BZP ) im Vordergrund. Vielmehr rechtfertigt es sich angesichts der speziellen Ausgangslage (Einreichung durch die Beschwerdeführerin, jedoch Gegenstandslosigkeit aus einem ausserhalb des Zivilverfahrens stehenden Grund), auf die Erhebung von Gerichtskosten zu verzichten ( Art. 66 Abs. 1 BGG ) und die Parteikosten wettzuschlagen ( Art. 68 Abs. 1 und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