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5A_694/2014 vom 24. März 2015</w:t>
      </w:r>
    </w:p>
    <w:p>
      <w:r>
        <w:t>Bundesgericht, 2015-03-24, DE</w:t>
      </w:r>
    </w:p>
    <w:p>
      <w:r>
        <w:rPr>
          <w:b/>
        </w:rPr>
        <w:t xml:space="preserve">Quelle: </w:t>
      </w:r>
      <w:r>
        <w:t>https://mcp.opencaselaw.ch/entscheid/bger_5A_694_2014</w:t>
      </w:r>
    </w:p>
    <w:p>
      <w:r>
        <w:t>FR: TF 5A_694/2014 du 24 mars 2015</w:t>
      </w:r>
    </w:p>
    <w:p>
      <w:r>
        <w:t>IT: TF 5A_694/2014 del 24 marzo 2015</w:t>
      </w:r>
    </w:p>
    <w:p>
      <w:pPr>
        <w:pStyle w:val="Heading2"/>
      </w:pPr>
      <w:r>
        <w:t>Erwägungen</w:t>
      </w:r>
    </w:p>
    <w:p>
      <w:r>
        <w:rPr>
          <w:b/>
        </w:rPr>
        <w:t>E. 1.1</w:t>
      </w:r>
    </w:p>
    <w:p>
      <w:r>
        <w:t>Es geht um eine Eheschutzmassnahme betreffend die Kinderbelange ( Art. 176 Abs. 3 ZGB ), mithin um eine Zivilsache ( Art. 72 Abs. 1 BGG ) nicht vermögensrechtlicher Natur. Nach der Rechtsprechung sind Entscheide betreffend die Anordnung von Eheschutzmassnahmen Endentscheide im Sinne von Art. 90 BGG ( BGE 133 III 393 E. 4 S. 395 f.). Daran ändert nichts, dass der angefochtene Entscheid über die Änderung des Besuchsrechts ausdrücklich als vorsorgliche Massnahme ergangen ist. Denn auch diese Anordnung kann sich als "nötige Massnahme" im Sinne von Art. 176 Abs. 3 ZGB erweisen, wenn die konkreten Gegebenheiten es erfordern, die der Eheschutzrichter von Amtes wegen festzustellen hat ( Art. 272 ZPO ) (vgl. zum Ganzen Urteil 5A_972/2013 vom 23. Juni 2014 E. 1). Die übrigen Eintretensvoraussetzungen geben zu keinen Bemerkungen Anlass.</w:t>
      </w:r>
    </w:p>
    <w:p>
      <w:r>
        <w:rPr>
          <w:b/>
        </w:rPr>
        <w:t>E. 1.2</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Soweit die Beschwerdeführerin in allgemeiner Weise ihre Arbeitsbelastung erwähnt oder Ausführungen über die Arbeitsmöglichkeiten des Beschwerdegegners vorträgt, erweist sich die Beschwerde nicht den vorgenannten Begründungsanforderungen entsprechend begründet. Darauf ist nicht einzutreten.</w:t>
      </w:r>
    </w:p>
    <w:p>
      <w:r>
        <w:rPr>
          <w:b/>
        </w:rPr>
        <w:t>E. 2</w:t>
      </w:r>
    </w:p>
    <w:p>
      <w:r>
        <w:t>Das Obergericht hat mit Bezug auf den Umfang des Besuchsrechts erwogen, aktuell stehe eine geordnete Wiederaufnahme des persönlichen Verkehrs zwischen dem Beschwerdegegner und dem Sohn sowie eine Beruhigung der Situation im Vordergrund. Die Vorinstanz habe sich daher nicht zu Unrecht am sog. gerichtsüblichen Besuchsrecht orientiert. Dabei handle es sich indes nicht um starre Regeln. Zu berücksichtigen sei vorliegend, dass die Parteien kein klassisches Rollenmodell gelebt hätten, weshalb der Sohn an drei Tagen pro Woche die Krippe besucht habe und daher trotz seines jungen Alters gewohnt sei, tageweise von seiner Hauptbezugsperson (der Mutter) getrennt zu sein. Im Sinne eines nachhaltigen Bindungsaufbaus zwischen dem Beschwerdegegner und dem Kind sei daher ein zusätzlicher Kurzbesuch an jedem Montagabend nach einem Wochenende ohne Besuchsrecht anzuordnen. Der Beschwerdegegner könne jeweils seinen Sohn von der Krippe abholen und so auch ein Stück weit in dessen Alltag präsent sein.</w:t>
      </w:r>
    </w:p>
    <w:p>
      <w:r>
        <w:rPr>
          <w:b/>
        </w:rPr>
        <w:t>E. 3</w:t>
      </w:r>
    </w:p>
    <w:p>
      <w:r>
        <w:t>Strittig ist vorliegend das dem Beschwerdegegner in Abweichung des Entscheides der ersten Instanz eingeräumte Kurzbesuchsrecht am Montagabend von 17.00 Uhr bis 19.00 Uhr. Die Beschwerdeführerin rügt diesbezüglich zunächst eine Verletzung der Begründungspflicht und macht dazu im Wesentlichen geltend, die Vorinstanz begründe nicht, inwiefern ein Kurzbesuchsrecht unter der Woche notwendig sein soll, um einen nachhaltigen Bindungsaufbau zu bewerkstelligen.</w:t>
      </w:r>
    </w:p>
    <w:p>
      <w:r>
        <w:rPr>
          <w:b/>
        </w:rPr>
        <w:t>E. 3.1</w:t>
      </w:r>
    </w:p>
    <w:p>
      <w:r>
        <w:t>Aus Art. 29 Abs. 2 BV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mit Hinweisen).</w:t>
      </w:r>
    </w:p>
    <w:p>
      <w:r>
        <w:rPr>
          <w:b/>
        </w:rPr>
        <w:t>E. 3.2</w:t>
      </w:r>
    </w:p>
    <w:p>
      <w:r>
        <w:t>Die Vorinstanz hat sehr ausführlich begründet, weshalb dem Beschwerdegegner ein Montagsbesuchsrecht einzuräumen ist. Insbesondere hat sie darauf hingewiesen, der Beschwerdegegner sei durch die Regelung des Montagsbesuchsrechts ein Stück weit im Alltag seines Sohnes präsent. Sie hat damit auch genügend begründet, dass mit dem Wochenendbesuchsrecht und einem moderat ausgestalteten Kurzbesuch unter der Woche ein nachhaltiger Beziehungsaufbau gefördert wird. Der Entscheid genügt den Anforderungen von Art. 29 Abs. 2 BV .</w:t>
      </w:r>
    </w:p>
    <w:p>
      <w:r>
        <w:rPr>
          <w:b/>
        </w:rPr>
        <w:t>E. 4</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 BGE 122 III 229 E. 3a/bb S. 232 f.; 122 III 404 E. 3b S. 406 f.; 131 III 209 E. 5 S. 212). Bei der Festsetzung des Besuchsrechts kommt dem Sachrichter ein weites Ermessen zu ( BGE 131 III 209 E. 3 S. 210; 120 II 229 E. 4a S. 235).</w:t>
      </w:r>
    </w:p>
    <w:p>
      <w:r>
        <w:rPr>
          <w:b/>
        </w:rPr>
        <w:t>E. 4.1</w:t>
      </w:r>
    </w:p>
    <w:p>
      <w:r>
        <w:t>Willkürliche Ausübung des Ermessens liegt vor, wenn die urteilende Behörde das ihr zustehende Ermessen missbraucht oder es überschreitet. Das ist der Fall, wenn der Entscheid auf einer unhaltbaren Würdigung der Umstände des Falles beruht, wenn er gegen die Rechtsordnung oder die Gesetze der Billigkeit verstösst, wenn er Umstände nicht berücksichtigt, die eine Rolle spielen, dagegen für den Fall unwesentliche Umstände in Betracht zieht (vgl. BGE 109 Ia 107 E. 2c S. 109; 126 III 8 E. 3c S. 10).</w:t>
      </w:r>
    </w:p>
    <w:p>
      <w:r>
        <w:rPr>
          <w:b/>
        </w:rPr>
        <w:t>E. 4.2</w:t>
      </w:r>
    </w:p>
    <w:p>
      <w:r>
        <w:t>Die Beschwerdeführerin macht geltend, als üblich gelte ein Besuchsrecht von einem Tag bzw. zwei Halbtagen pro Monat, das der Praxis entsprechend jeweils am Wochenende auszuüben sei. Die Vorinstanz sei ohne Not und ohne sachliche Rechtfertigung von diesen Grundsätzen abgewichen. Die Behauptung der Vorinstanz, der zusätzliche Kurzbesuch diene dem nachhaltigen Bindungsaufbau, sei willkürlich. Ungeprüft geblieben sei ferner, ob das Kind anlässlich der Montagsbesuche der Ziff. 1 des Urteilsdispositivs entsprechend von seiner Mutter dem Vater übergeben werden könne. Die Vorinstanz habe ferner nicht geprüft, ob die beabsichtigte Ausdehnung des Besuchsrechts durch die Montagsbesuche mit dem Kindeswohl vereinbar sei. Der Kurzbesuch wirke dem Bestreben, die Situation zwischen den Parteien und dem Kind zu beruhigen, entgegen. Für eine geordnete Wiederaufnahme des persönlichen Verkehrs seien Kurzbesuche unnötig.</w:t>
      </w:r>
    </w:p>
    <w:p>
      <w:r>
        <w:rPr>
          <w:b/>
        </w:rPr>
        <w:t>E. 4.3</w:t>
      </w:r>
    </w:p>
    <w:p>
      <w:r>
        <w:t>Die Beschwerdeführerin ergeht sich mit dieser Argumentation über weite Strecken in appellatorischer Kritik am angefochtenen Entscheid, ohne sachgerecht darzulegen, inwiefern die Vorinstanz das ihr in Besuchsbelangen zustehende Ermessen willkürlich angewendet haben soll. Insoweit ist grösstenteils auf die Beschwerde nicht einzutreten. Nach der Rechtsprechung kommt den erwähnten Grundsätzen zur Festsetzung des Besuchsrechts zwar eine gewisse Bedeutung zu, doch kann im Einzelfall nicht allein darauf abgestellt werden ( BGE 123 III 445 E. 3a S. 451). Die Vorinstanz hat insbesondere auch berücksichtigt, dass die Situation beruhigt und ein nachhaltiger Bindungsaufbau ermöglicht werden soll und dies mit einem am Wochenende auszuübenden Besuch und einem zusätzlichen Montagsbesuchsrecht bewirkt werden kann. Die Beschwerdeführerin behauptet hier einfach das Gegenteil, ohne aber damit erfolgreich darzulegen, inwiefern die Vorinstanz mit ihrem Entscheid ihr Ermessen willkürlich ausgeübt haben soll. Von einer willkürlichen Ausübung des Ermessens kann denn auch keine Rede sein: Die Beschwerdeführerin arbeitet am Montag und ist somit ausser Stande, ihren Sohn von der Krippe abzuholen. Das ist aber auch nicht erforderlich, zumal das Obergericht im Gegensatz zur ersten Instanz ein unbegleitetes Besuchsrecht vorgesehen hat, sodass sich eine Übergabe des Kindes durch die Mutter erübrigt. Da der Vater den Sohn von der Krippe abholen und danach noch einige Zeit mit ihm verbringen kann, ist die Annahme nicht willkürlich, durch diese Massnahme werde eine nachhaltige Beziehung zwischen Vater und Sohn bewirkt. Damit ist auch die Annahme nicht willkürlich, die gewählte Lösung entspreche dem Kindeswohl. Insgesamt trägt die Beschwerdeführerin nichts vor, was eine willkürliche Ausübung des Ermessens durch die Vorinstanz belegen könnte.</w:t>
      </w:r>
    </w:p>
    <w:p>
      <w:r>
        <w:rPr>
          <w:b/>
        </w:rPr>
        <w:t>E. 5</w:t>
      </w:r>
    </w:p>
    <w:p>
      <w:r>
        <w:t>Damit ist die Beschwerde abzuweisen, soweit darauf eingetreten werden kann. Bei diesem Ausgang des Verfahrens wird die Beschwerdeführerin kostenpflichtig ( Art. 66 Abs. 1 BGG ). Sie hat die Gegenpartei für die Stellungnahme zum Gesuch um aufschiebende Wirkung mit Fr. 500.-- zu entschädigen, da dem Antrag des Beschwerdegegners auf Abweisung des Gesuchs entsprochen wurde. In der Sache wurde keine Vernehmlassung eingeholt.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