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5A_693/2021 vom 19. Januar 2022</w:t>
      </w:r>
    </w:p>
    <w:p>
      <w:r>
        <w:t>Bundesgericht, 2022-01-19, DE</w:t>
      </w:r>
    </w:p>
    <w:p>
      <w:r>
        <w:rPr>
          <w:b/>
        </w:rPr>
        <w:t xml:space="preserve">Quelle: </w:t>
      </w:r>
      <w:r>
        <w:t>https://mcp.opencaselaw.ch/entscheid/bger_5A_693_2021</w:t>
      </w:r>
    </w:p>
    <w:p>
      <w:r>
        <w:t>FR: TF 5A_693/2021 du 19 janvier 2022</w:t>
      </w:r>
    </w:p>
    <w:p>
      <w:r>
        <w:t>IT: TF 5A_693/2021 del 19 gennaio 2022</w:t>
      </w:r>
    </w:p>
    <w:p>
      <w:pPr>
        <w:pStyle w:val="Heading2"/>
      </w:pPr>
      <w:r>
        <w:t>Erwägungen</w:t>
      </w:r>
    </w:p>
    <w:p>
      <w:r>
        <w:rPr>
          <w:b/>
        </w:rPr>
        <w:t>E. 1</w:t>
      </w:r>
    </w:p>
    <w:p>
      <w:r>
        <w:t>Der Beschwerdeführer kritisiert, dass vor Bundesgericht wie auch im kantonalen Verfahren der Beschwerdegegner im Rubrum mit einer c/o-Adresse beim (vermeintlichen) Vereinspräsidenten C.________ geführt wird. Ausserdem bestreitet er, dass die Rechtsvertreterin des Beschwerdegegners gehörig bevollmächtigt ist.</w:t>
      </w:r>
    </w:p>
    <w:p>
      <w:r>
        <w:t>Eine von C.________ für den Beschwerdegegner unterzeichnete Vollmacht für Rechtsanwältin Hüsler vom 28. Januar 2021 liegt in den kantonalen Akten. Der Beschwerdeführer zielt mit seiner Kritik an Adresse und Vollmacht des Beschwerdegegners darauf ab, als formelle Vorfrage vorab überprüfen zu lassen, ob C.________ rechtsgültig zum Präsidenten des Beschwerdegegners gewählt worden ist. Dies ist jedoch Gegenstand des Hauptverfahrens. Zudem muss sich der Beschwerdegegner im Prozess gegen die Vorwürfe des Beschwerdeführers zur Wehr setzen können, und zwar durch diejenigen Organe, die prima facie als für den Beschwerdegegner handlungsberechtigt erscheinen und um deren Handlungsberechtigung sich der Streit gerade dreht. Dies schliesst die Befugnis ein, eine Rechtsvertretung zu bestellen. Der Beschwerdeführer macht sodann - unabhängig von der Person des Präsidenten - geltend, die Unterzeichnung durch den Präsidenten allein sei statutenwidrig und es brauche einen Vorstandsbeschluss. Aus den von ihm beigelegten Statuten ergibt sich, dass der Vorstand die Zeichnungsberechtigung regelt, der Präsident den Verein in wichtigen Geschäften nach aussen vertritt und für Einzelheiten eine Geschäftsordnung gilt (Art. 5.2.2 und 5.2.3 der Statuten). Eine Einzelzeichnungsberechtigung des Präsidenten ist dadurch nicht ausgeschlossen. Der Beschwerdeführer belegt nicht, dass eine solche vorliegend fehlen würde. Damit hat es für das bundesgerichtliche Verfahren mit der vorliegenden Vollmacht sein Bewenden und Zustellungen erfolgen an die als Rechtsvertreterin bezeichnete Anwältin.</w:t>
      </w:r>
    </w:p>
    <w:p>
      <w:r>
        <w:rPr>
          <w:b/>
        </w:rPr>
        <w:t>E. 2</w:t>
      </w:r>
    </w:p>
    <w:p>
      <w:r>
        <w:t>Der Beschwerde liegt eine Zivilsache zugrunde und der angefochtene Entscheid ist letztinstanzlich ( Art. 72 Abs. 1 und Art. 75 Abs. 1 BGG ).</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mit Hinweisen). Vorliegend geht es um vorsorgliche Massnahmen, die im Rahmen eines Hauptverfahrens beantragt worden sind und die auf eine Regelung der Verhältnisse während der Dauer dieses Verfahrens abzielen. Der angefochtene Entscheid ist somit ein Zwischenentscheid im Sinne von Art. 93 BGG .</w:t>
      </w:r>
    </w:p>
    <w:p>
      <w:r>
        <w:t>Gegen solche 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Es obliegt der beschwerdeführenden Partei darzutun, dass ihr im konkreten Fall ein nicht wieder gutzumachender Nachteil droht ( BGE 144 III 475 E. 1.2 mit Hinweisen). Der Beschwerdeführer äussert sich jedoch nicht ausdrücklich zu den Voraussetzungen von Art. 93 Abs. 1 lit. a BGG . Dass diese Voraussetzungen erfüllt wären, springt auch nicht geradezu in die Augen ( BGE 144 III 475 E. 1.2). Selbst wenn hilfsweise die Ausführungen des Beschwerdeführers zur Sache (d.h. zu Art. 261 Abs. 1 lit. b ZPO ) und zum Gesuch um aufschiebende Wirkung bzw. Anordnung vorsorglicher Massnahmen im bundesgerichtlichen Verfahren beigezogen werden, ändert dies nichts. Es genügt nicht, in abstrakter Weise geltend zu machen, es müsse verhindert werden, dass C.________ als Präsident aktiv werde und die getroffenen Beschlüsse vollzogen würden, und zu behaupten, die Beschlüsse hätten massive Auswirkungen auf das Vereinsleben. Welche konkreten Handlungen oder Beschlussvollzüge einen drohenden Nachteil im Sinne von Art. 93 Abs. 1 lit. a BGG darstellen könnten, legt der Beschwerdeführer damit nicht dar. Der abstrakte Hinweis auf den Anspruch auf Schutz des Vereinslebens und auf Art. 75 ZGB genügt nicht. Der Beschwerdeführer befürchtet, es könnte ungerechtfertigt Geld ausgegeben werden. Auch diesbezüglich legt der Beschwerdeführer nicht dar, inwiefern ein konkreter rechtlicher Nachteil drohen könnte. Der Beschwerdeführer verweist schliesslich - insbesondere auch im Zusammenhang mit der Nachteilsprognose gemäss Art. 261 Abs. 1 lit. b ZPO - auf frühere, in den Akten liegende Rechtsschriften und erklärt diese zum integrierenden Bestandteil der Beschwerde. Darauf ist vorliegend, d.h. im Zusammenhang mit Art. 93 BGG , auch nicht hilfsweise einzugehen, denn die Begründung muss in der Beschwerde selber enthalten sein ( BGE 143 II 283 E. 1.2.3 S. 286; 138 III 252 E. 3.2 S. 258; 133 II 396 E. 3.1 S. 400).</w:t>
      </w:r>
    </w:p>
    <w:p>
      <w:r>
        <w:t>Auf die Beschwerde kann damit nicht eingetreten werden.</w:t>
      </w:r>
    </w:p>
    <w:p>
      <w:r>
        <w:rPr>
          <w:b/>
        </w:rPr>
        <w:t>E. 3</w:t>
      </w:r>
    </w:p>
    <w:p>
      <w:r>
        <w:t>Bei diesem Ausgang des Verfahrens trägt der Beschwerdeführer die Gerichtskosten ( Art. 66 Abs. 1 BGG ). Angesichts seines Unterliegens hat er keinen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