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5A_691/2025 vom 29. August 2025</w:t>
      </w:r>
    </w:p>
    <w:p>
      <w:r>
        <w:t>Bundesgericht, 2025-08-29, DE</w:t>
      </w:r>
    </w:p>
    <w:p>
      <w:r>
        <w:rPr>
          <w:b/>
        </w:rPr>
        <w:t xml:space="preserve">Quelle: </w:t>
      </w:r>
      <w:r>
        <w:t>https://mcp.opencaselaw.ch/entscheid/bger_5A_691_2025</w:t>
      </w:r>
    </w:p>
    <w:p>
      <w:r>
        <w:t>FR: TF 5A_691/2025 du 29 août 2025</w:t>
      </w:r>
    </w:p>
    <w:p>
      <w:r>
        <w:t>IT: TF 5A_691/2025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Beschwerdegegenstand bildet ein kantonal letztinstanzlicher Entscheid ( Art. 72 Abs. 1 und Art. 75 Abs. 1 BGG ), welcher das Verfahren nicht abschliesst und somit ein Zwischenentscheid ist. Zwischenentscheide können nur unter den besonderen Voraussetzungen von Art. 93 Abs. 1 BGG mit Beschwerde beim Bundesgericht angefochten werden, wobei diese in der Beschwerde darzutun sind ( BGE 144 III 475 E. 1.2; 150 III 248 E. 1.2). Der Beschwerde lässt sich keine konkrete und nachvollziehbare diesbezügliche Begründung entnehmen, weshalb bereits aus diesem Grund auf sie nicht einzutreten ist.</w:t>
      </w:r>
    </w:p>
    <w:p>
      <w:r>
        <w:rPr>
          <w:b/>
        </w:rPr>
        <w:t>E. 2</w:t>
      </w:r>
    </w:p>
    <w:p>
      <w:r>
        <w:t>Im Übrigen äussert sich der Beschwerdeführer nicht zu den Nichteintretenserwägungen (verspätete Beschwerdeerhebung: Ablauf der Rechtsmittelfrist am 24. März 2025, Abgabe der Beschwerde gemäss Abgabequittung von IncaMail am 8. Juli 2025 um 14:21 Uhr). Der Beschwerdeführer legt somit nicht dar, inwiefern der angefochtene Nichteintretensentscheid Recht verletzen soll ( Art. 42 Abs. 2 BGG ). Auch aus diesem Grund ist auf die Beschwerde nicht einzutreten.</w:t>
      </w:r>
    </w:p>
    <w:p>
      <w:r>
        <w:rPr>
          <w:b/>
        </w:rPr>
        <w:t>E. 3</w:t>
      </w:r>
    </w:p>
    <w:p>
      <w:r>
        <w:t>Der Vollständigkeit halber ist festzuhalten, dass entgegen der Ansicht des Beschwerdeführers die kann-Vorschrift von Art. 139 ZPO keinen Anspruch auf elektronische Zustellung gibt, ebenso wenig die untergeordneten Ausführungsbestimmungen in der UeÜ-ZSSV ( BGE 147 IV 510 ; SEILER/AMMANN, in: Schulthess-Kommentar zur Schweizerischen Zivilprozessordnung, 4. Aufl. 2025, Band I, N. 2b zu Art. 139 ZPO ; HUBER, in: Dike-Kommentar zur Schweizerischen Zivilprozessordnung, 3. Aufl. 2025, N. 10 zu Art. 139 ZPO ).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