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691/2020 vom 21. Oktober 2020</w:t>
      </w:r>
    </w:p>
    <w:p>
      <w:r>
        <w:t>Bundesgericht, 2020-10-21, FR</w:t>
      </w:r>
    </w:p>
    <w:p>
      <w:r>
        <w:rPr>
          <w:b/>
        </w:rPr>
        <w:t xml:space="preserve">Quelle: </w:t>
      </w:r>
      <w:r>
        <w:t>https://mcp.opencaselaw.ch/entscheid/bger_5A_691_2020</w:t>
      </w:r>
    </w:p>
    <w:p>
      <w:r>
        <w:t>FR: TF 5A 691/2020 du 21 octobre 2020</w:t>
      </w:r>
    </w:p>
    <w:p>
      <w:r>
        <w:t>IT: TF 5A 691/2020 del 21 ottobre 2020</w:t>
      </w:r>
    </w:p>
    <w:p>
      <w:pPr>
        <w:pStyle w:val="Heading2"/>
      </w:pPr>
      <w:r>
        <w:t>Regeste</w:t>
      </w:r>
    </w:p>
    <w:p>
      <w:r>
        <w:t>compétence des autorités suisses pour ordonner des mesures de protection de l'enfant | Droit de la famille</w:t>
      </w:r>
    </w:p>
    <w:p>
      <w:pPr>
        <w:pStyle w:val="Heading2"/>
      </w:pPr>
      <w:r>
        <w:t>Erwägungen</w:t>
      </w:r>
    </w:p>
    <w:p>
      <w:r>
        <w:rPr>
          <w:b/>
        </w:rPr>
        <w:t>E. 22</w:t>
      </w:r>
    </w:p>
    <w:p>
      <w:r>
        <w:t>juin 2020 au mandataire du recourant et que le dépôt du recours à l'étranger le</w:t>
      </w:r>
    </w:p>
    <w:p>
      <w:r>
        <w:rPr>
          <w:b/>
        </w:rPr>
        <w:t>E. 24</w:t>
      </w:r>
    </w:p>
    <w:p>
      <w:r>
        <w:t>août 2020 - à savoir le dernier jour du délai ( art. 45 al. 1 LTF ) - ne sauvegarde pas le délai de recours (FRÉSARD, in : Commentaire de la LTF, 2e éd., 2014, n° 11 ad art. 48 LTF , avec les citations); que, par conséquent, les frais judiciaires (réduits) sont mis à la charge du recourant ( art. 66 al. 1 et 2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