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5A_691/2019 vom 16. April 2020</w:t>
      </w:r>
    </w:p>
    <w:p>
      <w:r>
        <w:t>Bundesgericht, 2020-04-16, FR</w:t>
      </w:r>
    </w:p>
    <w:p>
      <w:r>
        <w:rPr>
          <w:b/>
        </w:rPr>
        <w:t xml:space="preserve">Quelle: </w:t>
      </w:r>
      <w:r>
        <w:t>https://mcp.opencaselaw.ch/entscheid/bger_5A_691_2019</w:t>
      </w:r>
    </w:p>
    <w:p>
      <w:r>
        <w:t>FR: TF 5A_691/2019 du 16 avril 2020</w:t>
      </w:r>
    </w:p>
    <w:p>
      <w:r>
        <w:t>IT: TF 5A_691/2019 del 16 aprile 2020</w:t>
      </w:r>
    </w:p>
    <w:p>
      <w:pPr>
        <w:pStyle w:val="Heading2"/>
      </w:pPr>
      <w:r>
        <w:t>Erwägungen</w:t>
      </w:r>
    </w:p>
    <w:p>
      <w:r>
        <w:rPr>
          <w:b/>
        </w:rPr>
        <w:t>E. 1.1</w:t>
      </w:r>
    </w:p>
    <w:p>
      <w:r>
        <w:t>Bien que l'écriture porte uniquement la mention " recours " sans autre précision, les recourants se réfèrent expressément aux art. 74, 75 et 76 LTF pour ce qui est de la recevabilité de leur acte, suggérant ainsi qu'ils entendent déposer un recours en matière civile.</w:t>
      </w:r>
    </w:p>
    <w:p>
      <w:r>
        <w:rPr>
          <w:b/>
        </w:rPr>
        <w:t>E. 1.2</w:t>
      </w:r>
    </w:p>
    <w:p>
      <w:r>
        <w:t>Le recours est dirigé contre une décision finale ( art. 90 LTF ), rendue sur appel par le tribunal supérieur du canton ( art. 75 LTF ), dans une affaire civile ( art. 72 al. 1 LTF ) de nature pécuniaire. La valeur litigieuse atteint le seuil de 30'000 fr. ( art. 74 al. 1 let. b LTF ), comme l'indiquent les recourants et le retient la cour cantonale. Le recours a été interjeté en temps utile (art. 46 al. 1 let. b et 100 al. 1 LTF) et en la forme prévue par la loi ( art. 42 al. 1 LTF ), par des parties qui ont pris part à la procédure devant l'autorité précédente ( art. 76 al. 1 let. a LTF ) et ont un intérêt digne de protection à l'annulation ou la modification de la décision attaquée ( art. 76 al. 1 let.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et la référence).</w:t>
      </w:r>
    </w:p>
    <w:p>
      <w:r>
        <w:rPr>
          <w:b/>
        </w:rPr>
        <w:t>E. 3</w:t>
      </w:r>
    </w:p>
    <w:p>
      <w:r>
        <w:t>Les recourants reprochent à la cour cantonale d'avoir violé l' art. 18 CO et le principe de l'interdiction de l'arbitraire en interprétant l'acte constitutif de la servitude litigieuse.</w:t>
      </w:r>
    </w:p>
    <w:p>
      <w:r>
        <w:rPr>
          <w:b/>
        </w:rPr>
        <w:t>E. 3.1</w:t>
      </w:r>
    </w:p>
    <w:p>
      <w:r>
        <w:t>La juridiction précédente a tout d'abord constaté qu'il n'était plus contesté que la servitude en question était une servitude foncière et non personnelle, comme cela résultait d'ailleurs de l'inscription elle-même. A l'instar des premiers juges (cf.</w:t>
      </w:r>
    </w:p>
    <w:p>
      <w:r>
        <w:t>supra let. C.b), elle a ensuite considéré que le terme " successeur " devait être compris, objectivement par application du principe de la confiance, dans son sens usuel, à savoir comme le successeur en droit, c'est-à-dire les propriétaires successifs du fonds dominant, et non dans le sens plus restrictif de " descendant " ou d' " héritier ", et qu'il ne s'agissait pas d'une servitude qui aurait été limitée dans le temps. Par ailleurs, il n'apparaissait pas que les parties à la constitution de la servitude avaient eu l'idée de prévoir un rattachement ultérieur de la pièce litigieuse à la parcelle n° xxx, l'acte en question ne le prévoyant pas et ne réglant donc pas les modalités d'un tel rattachement. De plus, la pièce en question était uniquement accessible depuis la propriété des intimés. Enfin, les parties n'avaient jamais contesté que tant le chauffage que l'électricité de cette pièce étaient rattachés à la propriété des intimés.</w:t>
      </w:r>
    </w:p>
    <w:p>
      <w:r>
        <w:rPr>
          <w:b/>
        </w:rPr>
        <w:t>E. 3.2</w:t>
      </w:r>
    </w:p>
    <w:p>
      <w:r>
        <w:t>Les recourants reprochent à l'autorité cantonale d'avoir violé l' art. 18 CO en retenant une interprétation basée sur le principe de la confiance qui est " manifestement contraire à l'ensemble des éléments au dossier et à la teneur même de la servitude " et qui n'est pas conforme au principe selon lequel une servitude doit être interprétée de manière restrictive, le " doute " devant profiter au propriétaire du fonds servant. La Cour d'appel aurait à tort analysé uniquement le terme " succes seurs ", sans procéder à une interprétation globale de la clause litigieuse. Or, le terme " successeurs " ne pourrait être séparé de la " phrase complète correspondant à l'exercice de la servitude ". Indépendamment de l'interprétation de chacun des mots, leur choix, leur ordre et l'organisation de la phrase témoigneraient du désir des auteurs de limiter la servitude. Ces éléments manifesteraient l'existence d'une condition résolutoire, à tout le moins une volonté claire de restreindre la durée de la servitude, ainsi qu'une certaine personnalisation de celle-ci, soit notamment une volonté de maintenir un caractère " familial " aux relations entre les propriétaires des immeubles concernés. L'historique des biens-fonds et la création elle-même de la servitude litigieuse indiqueraient que l'idée était de permettre aux enfants R.________, puis aux enfants de ceux-ci, de vivre dans la pièce en question, non de permettre l'usage de cette pièce à tout acquéreur du fonds dominant. Ainsi, contrairement à ce qu'avaient retenu les juges cantonaux, le terme " successeurs " constituerait en réalité une restriction dans la mesure où il a été préféré à celui d'acquéreur, un interprète de bonne foi ne pouvant " que voir une limitation dans la présence même de ce membre de phrase et, encore plus, dans l'usage d'un terme spécifique renvoyant sans conteste à une logique successorale ". En analysant l'ensemble des termes utilisés pour décrire l'exercice de la servitude, il ne ferait aucun doute que, dans l'esprit des rédacteurs et d'un tiers de bonne foi, le terme " successeurs " doit être compris comme " descendants " ou " héritiers " des enfants R.________.</w:t>
      </w:r>
    </w:p>
    <w:p>
      <w:r>
        <w:t>Les recourants relèvent également qu'il conviendrait de tenir compte de leur bonne foi dans leur compréhension de la servitude litigieuse, qui doit être protégée au titre de la foi publique attachée au registre foncier. Lorsqu'ils ont acquis la parcelle n° xxx et sur la base du descriptif de la servitude, ils ont toujours considéré que la pièce litigieuse devait leur revenir. Il ne faisait ainsi aucun doute pour eux que cette acquisition comportait la possibilité de récupérer la pièce en question au moment où les enfants R._______ ou leurs descendants décideraient de se séparer de la parcelle n° yyy. C'était de cette manière qu'ils avaient "exercé " la servitude durant de nombreuses années. De même, ils avaient régulièrement rappelé à leurs voisins la teneur de la servitude et son interprétation. Les juges cantonaux avaient complètement négligé cet aspect. Ils avaient également omis de tenir compte du fait que la pièce litigieuse était structurellement liée au bien des recourants, que les façades des deux bâtiments ne manifestaient en aucune manière le fait que la pièce était utilisée par les intimés, qu'une telle saillie occasionnait des nuisances, notamment sonores, et qu'un raccordement de la pièce à l'immeuble sis sur la parcelle n</w:t>
      </w:r>
    </w:p>
    <w:p>
      <w:r>
        <w:t>o xxx ne posait aucune difficulté technique. Il n'était ainsi pas pertinent de retenir que la pièce était accessible par l'immeuble des intimés et raccordée uniquement à celui-ci.</w:t>
      </w:r>
    </w:p>
    <w:p>
      <w:r>
        <w:rPr>
          <w:b/>
        </w:rPr>
        <w:t>E. 3.3.1</w:t>
      </w:r>
    </w:p>
    <w:p>
      <w:r>
        <w:t>Selon l' art. 736 CC , le propriétaire grevé peut exiger la radiation d'une servitude qui a perdu toute utilité pour le fonds dominant (al. 1). Il peut obtenir la libération totale ou partielle d'une servitude qui ne conserve qu'une utilité réduite, hors de proportion avec les charges imposées au fonds servant (al. 2). L'utilité pour le fonds dominant se définit conformément au principe de l'identité de la servitude, selon lequel celle-ci ne peut être maintenue dans un autre but que celui pour lequel elle a été constituée. Il faut ainsi examiner en premier lieu si le propriétaire du fonds dominant a encore un intérêt à exercer la servitude selon son but initial et quel est le rapport entre cet intérêt et celui qui existait au moment de la constitution de la servitude ( ATF 130 III 554 consid. 2; 121 III 52 consid. 2a; 114 II 426 consid. 2a et la référence; arrêt 5A_698/2017 du 7 mars 2018 consid. 4 non publié in ATF 144 III 88 ). L'intérêt du propriétaire du fonds dominant s'apprécie selon des critères objectifs ( ATF 130 III 554 consid. 2; 121 III 52 consid. 3a; arrêt 5A_698/2017 précité consid. 4).</w:t>
      </w:r>
    </w:p>
    <w:p>
      <w:r>
        <w:rPr>
          <w:b/>
        </w:rPr>
        <w:t>E. 3.3.2</w:t>
      </w:r>
    </w:p>
    <w:p>
      <w:r>
        <w:t>Pour déterminer le but initial, le contenu et l'étendue de la servitude, le juge saisi de la demande de radiation se fondera, conformément à l' art. 738 CC , en premier lieu sur l'inscription au registre foncier (al. 1). Dans la mesure où les droits et les devoirs respectifs en ressortent clairement, elle est décisive pour fixer le contenu de la servitude. Si l'inscription n'est pas claire, il faut remonter au fondement de l'acquisition, c'est-à-dire au contrat constitutif de la servitude. Si le titre d'acquisition n'est pas concluant, le contenu de la servitude peut être déterminé par la manière dont la servitude a été exercée pendant longtemps, paisiblement et de bonne foi (al. 2; ATF 137 III 145 consid. 3.1, 444 consid. 2.2; 132 III 651 consid. 8; 131 III 345 consid. 1.1; arrêts 5A_458/2019 du 30 janvier 2020 consid. 3.3; 5A_47/2019 du 5 septembre 2019 consid. 3.1).</w:t>
      </w:r>
    </w:p>
    <w:p>
      <w:r>
        <w:rPr>
          <w:b/>
        </w:rPr>
        <w:t>E. 3.3.3</w:t>
      </w:r>
    </w:p>
    <w:p>
      <w:r>
        <w:t>L'interprétation du contrat constitutif de la servitude s'effectue de la même manière que les déclarations de volonté, à savoir, s'agissant d'un contrat, selon la réelle et commune intention des parties ( art. 18 CO ), respectivement, pour le cas où celle-ci ne peut être établie, selon le principe de la confiance ( ATF 139 III 404 consid. 7.1; 137 III 145 consid. 3.2.1; 130 III 554 consid. 3.1; arrêt 5A_873/2018 du 19 mars 2020 consid. 2.1); toutefois, vis-à-vis des tiers qui - comme en l'espèce - n'étaient pas parties au contrat constitutif de la servitude, ces principes d'interprétation sont limités par la foi publique attachée au registre foncier ( art. 973 al. 1 CC ) qui comprend non seulement le grand livre, mais aussi les pièces justificatives, dans la mesure où elles précisent la portée de l'inscription ( art. 971 al. 2 CC repris par l' art. 738 al. 2 CC ). Ce principe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 ATF 139 III 404 consid. 7.1; 130 III 554 consid. 3.1 et les références; arrêts 5A_873/2018 précité consid. 2.1; 5A_458/2019 du 30 janvier 2020 consid. 3.3). Le résultat de l'interprétation objective devrait être ainsi le même que celui de l'interprétation subjective limitée par la foi publique (arrêts 5A_372/2017 du 2 novembre 2017 consid. 5.2.2; 5A_766/2016 du 5 avril 2017 consid. 4.1.3 et la doctrine citée).</w:t>
      </w:r>
    </w:p>
    <w:p>
      <w:r>
        <w:t>Toute servitude doit être interprétée restrictivement et ne doit limiter les droits du propriétaire du fonds servant que dans la mesure nécessaire à son exercice normal ( ATF 113 II 506 consid. 8b; 109 II 412 consid. 3 et les références; arrêt 5A_872/2011 du 13 février 2012 consid. 3.2).</w:t>
      </w:r>
    </w:p>
    <w:p>
      <w:r>
        <w:rPr>
          <w:b/>
        </w:rPr>
        <w:t>E. 3.4</w:t>
      </w:r>
    </w:p>
    <w:p>
      <w:r>
        <w:t>En l'espèce, en tant que les recourants se réfèrent à des éléments qui ne ressortent pas de la décision querellée - notamment en ce qui concerne les nuisances sonores de la pièce litigieuse, le fait que les façades des deux bâtiments ne " manifestent " pas que celle-ci est utilisée par les intimés ou le fait que le raccordement au bien des recourants ne poserait pas de difficultés techniques -, sans expliquer en quoi la juridiction précédente les aurait arbitrairement écartés, leur critique est d'emblée irrecevable (cf.</w:t>
      </w:r>
    </w:p>
    <w:p>
      <w:r>
        <w:t>supra consid. 2.2).</w:t>
      </w:r>
    </w:p>
    <w:p>
      <w:r>
        <w:t>En l'occurrence, le droit litigieux a été inscrit au registre foncier en tant que servitude d'empiètement, à charge du bien-fonds n</w:t>
      </w:r>
    </w:p>
    <w:p>
      <w:r>
        <w:t>o xxx et en faveur du bien-fonds n</w:t>
      </w:r>
    </w:p>
    <w:p>
      <w:r>
        <w:t>o yyy. Il s'agit dès lors d'une servitude foncière (arrêt 5A_229/2010 du 7 juillet 2010 consid. 4.1.1; STEINAUER, Les droits réels, tome II, 4</w:t>
      </w:r>
    </w:p>
    <w:p>
      <w:r>
        <w:t>e éd., 2012, n</w:t>
      </w:r>
    </w:p>
    <w:p>
      <w:r>
        <w:t>o 1628 et 1649; REY/STREBEL, in Basler Kommentar, ZGB II, 6</w:t>
      </w:r>
    </w:p>
    <w:p>
      <w:r>
        <w:t>e éd., 2019, n</w:t>
      </w:r>
    </w:p>
    <w:p>
      <w:r>
        <w:t>o</w:t>
      </w:r>
    </w:p>
    <w:p>
      <w:r>
        <w:rPr>
          <w:b/>
        </w:rPr>
        <w:t>E. 7</w:t>
      </w:r>
    </w:p>
    <w:p>
      <w:r>
        <w:t>ad art. 674 CC ), ce qui n'est à juste titre pas remis en cause par les recourants. Ceux-ci ne peuvent donc être suivis lorsqu'ils affirment que le contenu de la servitude est limité par la clause figurant dans l'acte de 1970 selon laquelle " (...) une chambre à l'étage est réservée à l'usage exclusif des 2 enfants R.________ ou à</w:t>
      </w:r>
    </w:p>
    <w:p>
      <w:r>
        <w:t>leurs successeurs qui en assumeront désormais l'entretien ", la servitude revêtant ainsi un caractère " familial ". En effet, en interprétant la clause de cette façon, les recourants confèrent un caractère personnel à la servitude, ce qui porte atteinte à la caractéristique d'une servitude foncière selon laquelle le titulaire de celle-ci est le propriétaire du fonds dominant (cf. art. 730 al. 1 CC ). Dès lors que l'acte constitutif est intitulé " Adaptation des prescriptions relatives à la propriété par étage (sic) ", on peut raisonnablement comprendre que l' "usage exclusif " auquel il est fait référence dans la clause litigieuse a trait au droit exclusif d'utiliser la pièce en question (comp. art. 712a al. 1 CC ) et non au fait que l'utilisation de la pièce reviendrait exclusivement aux descendants des deux enfants R.________. Contrairement à ce que soutiennent les recourants, la clause litigieuse ne peut pas non plus être objectivement comprise comme une condition résolutoire limitant la durée de la servitude, compte tenu de son manque de clarté et faute d'indication correspondante au registre foncier (cf. ATF 123 III 461 consid. 2b). Le fait que les recourants seraient de bonne foi dans leur compréhension de l'étendue de la servitude et auraient régulièrement rappelé celle-ci à leurs voisins n'est pas de nature à modifier cette conclusion. La cour cantonale n'a dès lors pas violé l' art. 18 CO en considérant que le terme de " successeurs " figurant dans l'acte constitutif de 1970 devait être compris comme incluant tous les propriétaires successifs du fonds dominant.</w:t>
      </w:r>
    </w:p>
    <w:p>
      <w:r>
        <w:t>Dans la mesure où il est recevable, le grief des recourants doit être rejeté.</w:t>
      </w:r>
    </w:p>
    <w:p>
      <w:r>
        <w:t>4.</w:t>
      </w:r>
    </w:p>
    <w:p>
      <w:r>
        <w:t>En conclusion, le recours est rejeté dans la mesure de sa recevabilité. Les frais judiciaires sont mis solidairement à la charge des recourants, qui succombent ( art. 66 al. 1 LTF ). Il n'est pas alloué de dépens aux intimés, qui n'ont pas été invités à se déterminer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