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691/2018 vom 27. August 2018</w:t>
      </w:r>
    </w:p>
    <w:p>
      <w:r>
        <w:t>Bundesgericht, 2018-08-27, DE</w:t>
      </w:r>
    </w:p>
    <w:p>
      <w:r>
        <w:rPr>
          <w:b/>
        </w:rPr>
        <w:t xml:space="preserve">Quelle: </w:t>
      </w:r>
      <w:r>
        <w:t>https://mcp.opencaselaw.ch/entscheid/bger_5A_691_2018</w:t>
      </w:r>
    </w:p>
    <w:p>
      <w:r>
        <w:t>FR: TF 5A 691/2018 du 27 août 2018</w:t>
      </w:r>
    </w:p>
    <w:p>
      <w:r>
        <w:t>IT: TF 5A 691/2018 del 27 agosto 2018</w:t>
      </w:r>
    </w:p>
    <w:p>
      <w:pPr>
        <w:pStyle w:val="Heading2"/>
      </w:pPr>
      <w:r>
        <w:t>Regeste</w:t>
      </w:r>
    </w:p>
    <w:p>
      <w:r>
        <w:t>Betreibung auf Konkurs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Beschwerdeführerin hält fest, sie sei mit dem Urteil vom 23. Juli 2018 nicht einverstanden. Dies ist kein genügendes Rechtsbegehren im Zusammenhang mit einem reformatorischen Rechtsmittel.</w:t>
      </w:r>
    </w:p>
    <w:p>
      <w:r>
        <w:rPr>
          <w:b/>
        </w:rPr>
        <w:t>E. 3</w:t>
      </w:r>
    </w:p>
    <w:p>
      <w:r>
        <w:t>Sodann fehlt es der Beschwerde auch an einer hinreichenden Auseinandersetzung mit der Begründung des Nichteintretensentscheides, indem die Beschwerdeführerin einzig festhält, sie habe mit einem Zeugen den Handelsregistereintrag ihrer Privatfirma gelöscht und alle aufgelaufenen Kosten getilgt. Vielmehr müsste sie darlegen, inwiefern sie den Kostenvorschuss geleistet hat und deshalb der Zivilappellationshof ihre Beschwerde materiell hätte behandeln müssen.</w:t>
      </w:r>
    </w:p>
    <w:p>
      <w:r>
        <w:rPr>
          <w:b/>
        </w:rPr>
        <w:t>E. 4</w:t>
      </w:r>
    </w:p>
    <w:p>
      <w:r>
        <w:t>Nach dem Gesagten ist auf die Beschwerde im vereinfachten Verfahren nach Art. 108 Abs. 1 lit. b BGG durch Präsidialentscheid nicht einzutreten.</w:t>
      </w:r>
    </w:p>
    <w:p>
      <w:r>
        <w:rPr>
          <w:b/>
        </w:rPr>
        <w:t>E. 5</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