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5A_68/2025 vom 29. April 2025</w:t>
      </w:r>
    </w:p>
    <w:p>
      <w:r>
        <w:t>Bundesgericht, 2025-04-29, DE</w:t>
      </w:r>
    </w:p>
    <w:p>
      <w:r>
        <w:rPr>
          <w:b/>
        </w:rPr>
        <w:t xml:space="preserve">Quelle: </w:t>
      </w:r>
      <w:r>
        <w:t>https://mcp.opencaselaw.ch/entscheid/bger_5A_68_2025</w:t>
      </w:r>
    </w:p>
    <w:p>
      <w:r>
        <w:t>FR: TF 5A_68/2025 du 29 avril 2025</w:t>
      </w:r>
    </w:p>
    <w:p>
      <w:r>
        <w:t>IT: TF 5A_68/2025 del 29 aprile 2025</w:t>
      </w:r>
    </w:p>
    <w:p>
      <w:pPr>
        <w:pStyle w:val="Heading2"/>
      </w:pPr>
      <w:r>
        <w:t>Erwägungen</w:t>
      </w:r>
    </w:p>
    <w:p>
      <w:r>
        <w:rPr>
          <w:b/>
        </w:rPr>
        <w:t>E. 1.1</w:t>
      </w:r>
    </w:p>
    <w:p>
      <w:r>
        <w:t>Die innert Frist (Art. 100 Abs. 1 i.V.m. Art. 46 Abs. 1 lit. c BGG ) eingereichte Beschwerde richtet sich gegen den Entscheid eines oberen kantonalen Gerichts, das als letzte Instanz über ein Ausstandsbegehren entschieden hat ( Art. 75 Abs. 1 und 2 Satz 1 BGG ). Dabei handelt es sich um einen Zwischenentscheid gemäss Art. 92 Abs. 1 BGG , der selbständig anfechtbar ist. Bei Zwischenentscheiden folgt der Rechtsweg demjenigen der Hauptsache ( BGE 147 III 451 E. 1.3 mit Hinweisen). Den Angaben im angefochtenen Entscheid zufolge ist diese Zivilsache ( Art. 72 Abs. 1 BGG ) nicht vermögensrechtlicher Natur. Die Beschwerdeführerin ist zur Beschwerde berechtigt ( Art. 76 Abs. 1 BGG ). Die Beschwerde in Zivilsachen erweist sich als das zutreffende Rechtsmittel.</w:t>
      </w:r>
    </w:p>
    <w:p>
      <w:r>
        <w:rPr>
          <w:b/>
        </w:rPr>
        <w:t>E. 1.2</w:t>
      </w:r>
    </w:p>
    <w:p>
      <w:r>
        <w:t>Nicht zulässig ist hingegen die subsidiäre Verfassungsbeschwerde ( Art. 113 ff. BGG ). Sie setzt u.a. voraus, dass keine Beschwerde nach Art. 72 ff. BGG zulässig ist. Diese Voraussetzung ist vorliegend nicht erfüllt. Auf die subsidiäre Verfassungsbeschwerde ist somit nicht einzutreten.</w:t>
      </w:r>
    </w:p>
    <w:p>
      <w:r>
        <w:rPr>
          <w:b/>
        </w:rPr>
        <w:t>E. 1.3</w:t>
      </w:r>
    </w:p>
    <w:p>
      <w:r>
        <w:t>Die Beschwerde hat ein Rechtsbegehren zu enthalten ( Art. 42 Abs. 1 BGG ). Da die Rechtsmittel nach dem Bundesgerichtsgesetz reformatorisch sind (vgl. Art. 107 Abs. 2 und Art. 117 BGG ; BGE 147 I 89 E. 1.2.5) und das Bundesgericht folglich in der Sache selbst entscheiden kann, darf sich die beschwerdeführende Partei nicht darauf beschränken, die Aufhebung oder Kassation des angefochtenen Entscheides zu beantragen; vielmehr ist ein Antrag in der Sache zu stellen ( BGE 137 II 313 E. 1.3 mit Hinweisen); andernfalls ist auf die Beschwerde nicht einzutreten. Ein blosser Rückweisungsantrag reicht ausnahmsweise aus, wenn das Bundesgericht ohnehin nicht reformatorisch entscheiden könnte ( BGE 134 III 379 E. 1.3; 133 III 489 E. 3.1 mit Hinweisen;). Dies trifft etwa zu, wenn die beschwerdeführende Partei allein die Verletzung des rechtlichen Gehörs durch die Rechtsmittelinstanz rügt. Da das Bundesgericht den Sachverhalt nicht frei überprüfen oder ergänzen kann ( Art. 105 Abs. 1 und 2 BGG ), kann es eine Gehörsverletzung nicht selbst heilen und folglich nicht in der Sache selbst entscheiden ( BGE 137 I 195 E. 2.3.2 und 2.7 mit Hinweisen). Es ist Sache der beschwerdeführenden Partei aufzuzeigen, dass diese Voraussetzungen erfüllt sind ( BGE 133 III 489 E. 3.1 und 3.2).</w:t>
      </w:r>
    </w:p>
    <w:p>
      <w:r>
        <w:t>Die Beschwerdeführerin erneuert das vor der Vorinstanz gestellte Ausstandsbegehren nicht, sondern beantragt, die Sache sei zur Neuentscheidung zurückzuweisen. In der Beschwerdebegründung bekräftigt sie ausdrücklich, dass die Beschwerde "rein kassatorisch und nicht reformatorisch geführt" werde und sie allein die Aufhebung des angefochtenen Urteils und dessen Rückweisung an die Vorinstanz verlange. Warum das Bundesgericht nicht selbst entscheiden könnte, erklärt die Beschwerdeführerin zwar nicht, dies wird aber letztlich aus der Beschwerdebegründung klar. Die Beschwerdeführerin stützt sich für ihren Rückweisungsantrag auf eine Verletzung des rechtlichen Gehörs ( Art. 53 Abs. 1 und 2 ZPO i.V.m. Art. 29 Abs. 2 BV ), die darin liege, dass die Vorinstanz ihren Antrag auf Beizug der Vortragsnotizen, welche die Beschwerdegegnerin an der Instruktionsverhandlung abgelesen habe, zu Unrecht abgewiesen habe. Diese hätten es ihr, der Beschwerdeführerin, erlaubt, den Vorwurf der Befangenheit zu begründen. Die Vorinstanz werde daher auf Rückweisung der Sache hin das Bezirksgericht anweisen müssen, die Notizen zu edieren, welche die Befangenheit der Beschwerdegegnerin "nur noch bestätigen" könnten. Aus diesen über mehrere Seiten verteilten Ausführungen kann im Ergebnis implizit hergeleitet werden, dass nach Auffassung der Beschwerdeführerin erst über das Ausstandsgesuch entschieden werden kann, wenn sie Einsicht in die Notizen der Beschwerdegegnerin genommen und dazu eine Stellungnahme abgegeben hat. Der blosse Antrag auf Aufhebung des Entscheids und Rückweisung an die Vorinstanz erweist sich daher als zulässig.</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BGE 140 III 86 E. 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140 III 115 E. 2 mit Hinweis). Für das Vorbringen der Verletzung verfassungsmässiger Rechte gelangt dagegen das strenge Rügeprinzip nach Art. 106 Abs. 2 BGG zur Anwendung ( BGE 150 I 154 E. 2.1</w:t>
      </w:r>
    </w:p>
    <w:p>
      <w:r>
        <w:t>in fine ; 143 II 283 E 1.2.2). Das Bundesgericht prüft diesbezüglich nur klar und detailliert erhobene und, soweit möglich, belegte Rügen, während es auf ungenügend substanziierte Rügen und rein appellatorische Kritik nicht eintritt ( BGE 142 III 364 E. 2.4 mit Hinweisen).</w:t>
      </w:r>
    </w:p>
    <w:p>
      <w:r>
        <w:rPr>
          <w:b/>
        </w:rPr>
        <w:t>E. 2.2</w:t>
      </w:r>
    </w:p>
    <w:p>
      <w:r>
        <w:t>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106 Abs. 2 BGG ). Das Bundesgericht prüft daher nur klar und detailliert erhobene und, soweit möglich, belegte Rügen, während es auf ungenügend substanziierte Rügen und rein appellatorische Kritik am Sachverhalt nicht eintritt ( BGE 141 IV 249 E. 1.3.1; 140 III 264 E. 2.3 mit Hinweisen).</w:t>
      </w:r>
    </w:p>
    <w:p>
      <w:r>
        <w:rPr>
          <w:b/>
        </w:rPr>
        <w:t>E. 3</w:t>
      </w:r>
    </w:p>
    <w:p>
      <w:r>
        <w:t>Wie bereits erwähnt (vgl. oben E. 1.3), rügt die Beschwerdeführerin, dass die Vorinstanz ihren Antrag auf Beizug der Notizen der Beschwerdegegnerin, welche diese anlässlich der Instruktionsverhandlung abgelesen habe, zu Unrecht abgewiesen und damit ihren Anspruch auf rechtliches Gehör verletzt habe ( Art. 53 Abs. 1 und 2 ZPO i.V.m. Art. 29 Abs. 2 BV ).</w:t>
      </w:r>
    </w:p>
    <w:p>
      <w:r>
        <w:rPr>
          <w:b/>
        </w:rPr>
        <w:t>E. 3.1</w:t>
      </w:r>
    </w:p>
    <w:p>
      <w:r>
        <w:t>Der Anspruch auf rechtliches Gehör ist formeller Natur, womit seine Verletzung ungeachtet der materiellen Begründetheit des Rechtsmittels zur Gutheissung der Beschwerde und zur Aufhebung des angefochtenen Entscheids führt ( BGE 142 II 218 E. 2.8.1 ; 135 I 187 E. 2.2; je mit Hinweisen). Diese Rechtsprechung darf indes nicht darüber hinwegtäuschen, dass auch die Wahrung des rechtlichen Gehörs keinen Selbstzweck darstellt. Ungeachtet der formellen Natur des Gehörsanspruchs besteht dann kein schützenswertes Interesse an der Aufhebung des angefochtenen Entscheids, wenn nicht bestritten ist, dass eine allfällige Verletzung des rechtlichen Gehörs keinen Einfluss auf den Verfahrensausgang gehabt hätte ( BGE 147 III 586 E. 5.2.1; 143 IV 380 E. 1.4.1; Urteil 5A_315/2021 vom 29. März 2022 E. 3.1.2; je mit Hinweisen).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bei Gewährung des rechtlichen Gehörs in das kantonale Verfahren eingeführt hätte und inwiefern diese hätten erheblich sein können (zum Ganzen Urteile 5A_221/2021 vom 7. Dezember 2021 E. 3.2; 5A_699/2017 vom 24. Oktober 2017 E. 3.1.3; je mit Hinweisen). Soweit eine Verletzung des Beweisführungsanspruchs ( Art. 29 Abs. 2 BV ; Art. 152 Abs. 1 ZPO ) geltend gemacht wird, ist daher erforderlich, dass die Tatsachen genannt werden, die mit dem Beweismittel hätten bewiesen werden sollen (vgl. allgemein BGE 140 III 86 E. 2).</w:t>
      </w:r>
    </w:p>
    <w:p>
      <w:r>
        <w:rPr>
          <w:b/>
        </w:rPr>
        <w:t>E. 3.2</w:t>
      </w:r>
    </w:p>
    <w:p>
      <w:r>
        <w:t>Diesen Anforderungen wird die Beschwerde nicht gerecht. Die Beschwerdeführerin zeigt nicht auf, welche konkreten Tatsachen sie mit den Vortragsnotizen beweisen möchte. Sie führt dazu nur aus, dass ihr an der Instruktionsverhandlung erstmals der "Eindruck der Befangenheit" aufgefallen sei. Auf welchen konkreten Äusserungen der Beschwerdegegnerin dieser Eindruck beruht, erklärt die Beschwerdeführerin nicht. Zur Rechtfertigung bringt sie vor, sie habe im kantonalen Verfahren unmöglich angeben können, welche Stellen im Vortrag der Beschwerdegegnerin den Eindruck der Befangenheit begründet hätten, weil ihr die Vortragsnotizen nicht vorgelegen hätten. Von der Beschwerdeführerin wird aber nicht verlangt, die Stellen in der Notiz zu bezeichnen, sondern darzulegen, mit welchen Äusserungen die Beschwerdegegnerin angeblich den Eindruck ihrer Befangenheit erweckt hat. Dazu wäre die anwaltlich vertretene Beschwerdeführerin ohne weiteres in der Lage gewesen. Selbst wenn der Vortrag, wie die Beschwerdeführerin beklagt, sehr schnell abgelesen worden sein sollte, hätte sie die beanstandeten Äusserungen in ihrem wesentlichen Gehalt aus dem Gedächtnis notieren können. Mangels genügender Begründung ist auf die Beschwerde diesbezüglich nicht einzutreten.</w:t>
      </w:r>
    </w:p>
    <w:p>
      <w:r>
        <w:rPr>
          <w:b/>
        </w:rPr>
        <w:t>E. 3.3</w:t>
      </w:r>
    </w:p>
    <w:p>
      <w:r>
        <w:t>Bei diesem Ergebnis ist auf die Rüge der Gehörsverletzung materiell nicht weiter einzugehen. Zu erinnern ist im vorstehenden Zusammenhang immerhin daran, dass nach konstanter bundesgerichtlicher Rechtsprechung interne Dokumente, die der internen Willensbildung der entscheidenden Behörde dienen und denen kein Beweischarakter zukommt, grundsätzlich nicht vom Recht auf Akteneinsicht erfasst sind ( BGE 132 II 485 E. 3.4; Urteil 5A_125/2016 vom 27. Juli 2016 E. 3.3), und vorläufige Einschätzungen der Sach- und Rechtslage für sich allein keinen Anschein der Befangenheit begründen (Urteile 5A_608/2024 vom 29. Januar 2025 E. 5.3.2; 4A_265/2024 vom 22. Juli 2024 E. 2.3.2).</w:t>
      </w:r>
    </w:p>
    <w:p>
      <w:r>
        <w:rPr>
          <w:b/>
        </w:rPr>
        <w:t>E. 4</w:t>
      </w:r>
    </w:p>
    <w:p>
      <w:r>
        <w:t>Soweit sich die Beschwerdeführerin zur Untermauerung ihres Rückweisungsantrags zusätzlich über die Beurteilung der Vorinstanz in der Sache selbst beschwert, genügen ihre Ausführungen den Anforderungen an eine Beschwerdebegründung (vgl. oben E. 2.1) nicht:</w:t>
      </w:r>
    </w:p>
    <w:p>
      <w:r>
        <w:rPr>
          <w:b/>
        </w:rPr>
        <w:t>E. 4.1</w:t>
      </w:r>
    </w:p>
    <w:p>
      <w:r>
        <w:t>Die Beschwerdeführerin hatte sich schon vor der Vorinstanz über die angeblich zu kurzen Fristen beschwert, welche die Instruktionsrichterin ihr angesetzt habe. Die Vorinstanz führte dazu aus, die Fristansetzungen hätten beide Parteien gleich betroffen und die Beschwerdeführerin zeige nicht auf, inwiefern sie von diesen Fristen dennoch anders oder besonders berührt gewesen wäre. Diese Fristansetzungen seien daher nicht geeignet, den Anschein der Befangenheit zu erwecken. Dagegen bringt die Beschwerdeführerin allein vor, der Kläger habe anders als sie die Fristansetzungen nie als unangemessen erachtet und nie um deren Aufhebung ersucht, woraus sich ergebe, dass allein sie benachteiligt worden sei. Worin diese angebliche Benachteiligung bestanden hätte, erklärt die Beschwerdeführerin aber nach wie vor nicht. Eine solche kann jedenfalls nicht schon darin erblickt werden, dass die Gegenpartei die kurzen Fristen hingenommen hat. Auf die Rüge ist daher mangels hinreichender Begründung nicht einzutreten.</w:t>
      </w:r>
    </w:p>
    <w:p>
      <w:r>
        <w:rPr>
          <w:b/>
        </w:rPr>
        <w:t>E. 4.2</w:t>
      </w:r>
    </w:p>
    <w:p>
      <w:r>
        <w:t>Weiter beklagt die Beschwerdeführerin, dass die Instruktionsrichterin an der Instruktionsverhandlung nicht auf ihre Stufenklage eingegangen sei und stattdessen über die Liegenschaften ein Teilbeweisverfahren durchgeführt habe. Auch hier legt die Beschwerdeführerin nicht dar und es ist ohne nähere Begründung auch nicht ersichtlich, inwiefern die Stufenklage der Verkehrswertschätzung zweier Liegenschaften entgegenstehen und sich daraus der Anschein der Befangenheit ergeben sollte. Wenn die Beschwerdeführerin in diesem Zusammenhang mit Blick auf ihre güterrechtlichen Ansprüche auf die Zulässigkeit der unbezifferten Forderungsklage gemäss Art. 85 Abs. 1 ZPO verweist, bringt sie letztlich ein Argument für das Vorgehen der Beschwerdegegnerin vor, trägt doch eine Verkehrswertschätzung von Liegenschaften gerade zur Bezifferung einer güterrechtlichen Forderung bei. Schliesslich bestreitet die Beschwerdeführerin die Beurteilung der Vorinstanz nicht, dass sie sich diesbezüglich im kantonalen Beschwerdeverfahren nicht hinreichend mit den Erwägungen des Bezirksgerichts auseinandergesetzt hat. Auch auf diese Rüge kann daher nicht eingetreten werden.</w:t>
      </w:r>
    </w:p>
    <w:p>
      <w:r>
        <w:rPr>
          <w:b/>
        </w:rPr>
        <w:t>E. 5</w:t>
      </w:r>
    </w:p>
    <w:p>
      <w:r>
        <w:t>Im Ergebnis ist auf die Beschwerde nicht einzutreten. Bei diesem Verfahrensausgang wird die Beschwerdeführerin kostenpflichtig ( Art. 66 Abs. 1 BGG ). Der Beschwerdegegnerin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