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5A_688/2024 vom 9. Oktober 2024</w:t>
      </w:r>
    </w:p>
    <w:p>
      <w:r>
        <w:t>Bundesgericht, 2024-10-09, DE</w:t>
      </w:r>
    </w:p>
    <w:p>
      <w:r>
        <w:rPr>
          <w:b/>
        </w:rPr>
        <w:t xml:space="preserve">Quelle: </w:t>
      </w:r>
      <w:r>
        <w:t>https://mcp.opencaselaw.ch/entscheid/bger_5A_688_2024</w:t>
      </w:r>
    </w:p>
    <w:p>
      <w:r>
        <w:t>FR: TF 5A_688/2024 du 9 octobre 2024</w:t>
      </w:r>
    </w:p>
    <w:p>
      <w:r>
        <w:t>IT: TF 5A_688/2024 del 9 ottobre 2024</w:t>
      </w:r>
    </w:p>
    <w:p>
      <w:pPr>
        <w:pStyle w:val="Heading2"/>
      </w:pPr>
      <w:r>
        <w:t>Erwägungen</w:t>
      </w:r>
    </w:p>
    <w:p>
      <w:r>
        <w:rPr>
          <w:b/>
        </w:rPr>
        <w:t>E. 1</w:t>
      </w:r>
    </w:p>
    <w:p>
      <w:r>
        <w:t>Angefochten ist der kantonal letztinstanzliche Entscheid gegen eine fürsorgerische Unterbringung; die Beschwerde in Zivilsachen steht offen.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Im Übrigen wird der mögliche Anfechtungsgegenstand durch das bestimmt, was von der Vorinstanz beurteilt wurde; soweit mehr oder anderes verlangt wird, ist darauf nicht einzutreten ( BGE 136 II 457 E. 4.2; 136 V 362 E. 3.4.2 ; 142 I 155 E. 4.4.2).</w:t>
      </w:r>
    </w:p>
    <w:p>
      <w:r>
        <w:rPr>
          <w:b/>
        </w:rPr>
        <w:t>E. 3</w:t>
      </w:r>
    </w:p>
    <w:p>
      <w:r>
        <w:t>Im angefochtenen Entscheid wird der Schwächezustand sowie das selbstgefährdende Verhalten, die Erforderlichkeit der Unterbringung und die Eignung der Klinik unter Bezugnahme auf das erstellte Gutachten ausführlich behandelt. Damit setzt sich die Beschwerdeführerin mit keinem Wort auseinander. Sie hält einzig fest, dass sie nicht mit Neuroleptika behandelt werden wolle. Soweit ersichtlich ist jedoch bislang keine Zwangsmedikation verfügt worden und ohnehin würde eine solche ausserhalb des durch den angefochtenen Entscheid begrenzten Anfechtungsgegenstand stehen.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