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5A_688/2023 vom 20. September 2023</w:t>
      </w:r>
    </w:p>
    <w:p>
      <w:r>
        <w:t>Bundesgericht, 2023-09-20, DE</w:t>
      </w:r>
    </w:p>
    <w:p>
      <w:r>
        <w:rPr>
          <w:b/>
        </w:rPr>
        <w:t xml:space="preserve">Quelle: </w:t>
      </w:r>
      <w:r>
        <w:t>https://mcp.opencaselaw.ch/entscheid/bger_5A_688_2023</w:t>
      </w:r>
    </w:p>
    <w:p>
      <w:r>
        <w:t>FR: TF 5A_688/2023 du 20 septembre 2023</w:t>
      </w:r>
    </w:p>
    <w:p>
      <w:r>
        <w:t>IT: TF 5A_688/2023 del 20 settembre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Im Übrigen hat die Beschwerde auch einen hierauf bezogenen Rechtsmittelantrag zu enthalten ( Art. 42 Abs. 1 BGG ).</w:t>
      </w:r>
    </w:p>
    <w:p>
      <w:r>
        <w:rPr>
          <w:b/>
        </w:rPr>
        <w:t>E. 2</w:t>
      </w:r>
    </w:p>
    <w:p>
      <w:r>
        <w:t>Der Beschwerdeführer macht Ausführungen zu seiner Fluchtgeschichte und wieso seine früheren Aussagen nicht der Wahrheit entsprochen hätten. Der Beschwerde lässt sich indes weder ein sachgerichteter Rechtsmittelantrag noch eine auf die Nichteintretenserwägungen des angefochtenen Beschlusses bezogene Begründung entnehmen.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