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5A_688/2011 vom 15. November 2011</w:t>
      </w:r>
    </w:p>
    <w:p>
      <w:r>
        <w:t>Bundesgericht, 2011-11-15, DE</w:t>
      </w:r>
    </w:p>
    <w:p>
      <w:r>
        <w:rPr>
          <w:b/>
        </w:rPr>
        <w:t xml:space="preserve">Quelle: </w:t>
      </w:r>
      <w:r>
        <w:t>https://mcp.opencaselaw.ch/entscheid/bger_5A_688_2011</w:t>
      </w:r>
    </w:p>
    <w:p>
      <w:r>
        <w:t>FR: TF 5A_688/2011 du 15 novembre 2011</w:t>
      </w:r>
    </w:p>
    <w:p>
      <w:r>
        <w:t>IT: TF 5A_688/2011 del 15 novembre 2011</w:t>
      </w:r>
    </w:p>
    <w:p>
      <w:pPr>
        <w:pStyle w:val="Heading2"/>
      </w:pPr>
      <w:r>
        <w:t>Erwägungen</w:t>
      </w:r>
    </w:p>
    <w:p>
      <w:r>
        <w:rPr>
          <w:b/>
        </w:rPr>
        <w:t>E. 1.1</w:t>
      </w:r>
    </w:p>
    <w:p>
      <w:r>
        <w:t>Angefochten ist eine Verfügung des Vorstehers des Departementes Inneres und Kultur des Kantons Appenzell Ausserrhoden, mit welcher ein Gesuch der Beschwerdeführer, ihrer Beschwerde aufschiebende Wirkung zu erteilen, abgewiesen worden ist. Dabei handelt es sich um einen Zwischenentscheid, der beim Bundesgericht nach dem Grundsatz der Einheit des Verfahrens mit dem in der Hauptsache zulässigen Rechtsmittel anzufechten ist ( BGE 134 V 138 E. 3 S. 144). In der Hauptsache geht es um den Entzug der elterlichen Obhut ( Art. 310 Abs. 1 ZGB ), mithin um eine Massnahme des Kindesschutzes und damit um eine öffentlich-rechtliche Sache, die in engem Zusammenhang mit dem Zivilrecht steht (Art. 72 Abs. 2 lit. b Ziff. 7 BGG); der entsprechende (letztinstanzliche, Art. 75 Abs. 1 BGG ) Entscheid in der Hauptsache und folglich auch der Zwischenentscheid können grundsätzlich mit der Beschwerde in Zivilsachen angefochten werden.</w:t>
      </w:r>
    </w:p>
    <w:p>
      <w:r>
        <w:rPr>
          <w:b/>
        </w:rPr>
        <w:t>E. 1.2</w:t>
      </w:r>
    </w:p>
    <w:p>
      <w:r>
        <w:t>Nach Art. 75 Abs. 2 BGG setzen die Kantone als letzte kantonale Instanzen obere Gerichte ein, die als Rechtsmittelinstanzen entscheiden; ausgenommen sind die Fälle, in denen ein Bundesgesetz eine einzige kantonale Instanz vorsieht (lit. a), ein Fachgericht für handelsgerichtliche Streitigkeiten als einzige Instanz entscheidet (lit. b) oder eine Klage mit einem Streitwert von mindestens Fr. 100'000.-- mit Zustimmung aller Parteien direkt beim oberen Gericht eingereicht wurde (lit. c). Die in Art. 130 Abs. 2 BGG aufgestellte Frist für die Anpassung des kantonalen Rechts an die Erfordernisse von Art. 75 Abs. 2 BGG ist mit dem Inkrafttreten der schweizerischen Zivilprozessordnung am 1. Januar 2011 abgelaufen. Seit diesem Datum kommt Art. 75 Abs. 2 BGG voll zum Tragen ( BGE 137 III 238 E. 2.2). Diese Bestimmung gilt auch für die Anfechtung von Zwischenentscheiden, ausser das obere Gericht sei mit einem Rechtsmittelverfahren befasst und fälle in diesem Rahmen einen Zwischenentscheid (zur Publikation bestimmtes Urteil 5A_320/2011 vom 18. Mai 2011 E. 2.1 u. 2.2). Der angefochtene Entscheid des Departementes erfüllt die Voraussetzung des Art. 75 Abs. 2 BGG nicht und es liegt auch keine der erwähnten Ausnahmen vor. Auf die unzulässige Beschwerde in Zivilsachen ist nicht einzutreten.</w:t>
      </w:r>
    </w:p>
    <w:p>
      <w:r>
        <w:rPr>
          <w:b/>
        </w:rPr>
        <w:t>E. 2</w:t>
      </w:r>
    </w:p>
    <w:p>
      <w:r>
        <w:t>Bei dieser Sach- und Rechtslage ist auf die Erhebung von Kosten zu verzichten. Des weiteren sind keine Parteientschädigungen zuzusprechen ( Art. 66 Abs. 1 und Art. 68 Abs. 2 BGG ; Urteil 5A_675/2007 vom 8. Februar 2008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