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5A_687/2020 vom 8. September 2020</w:t>
      </w:r>
    </w:p>
    <w:p>
      <w:r>
        <w:t>Bundesgericht, 2020-09-08, FR</w:t>
      </w:r>
    </w:p>
    <w:p>
      <w:r>
        <w:rPr>
          <w:b/>
        </w:rPr>
        <w:t xml:space="preserve">Quelle: </w:t>
      </w:r>
      <w:r>
        <w:t>https://mcp.opencaselaw.ch/entscheid/bger_5A_687_2020</w:t>
      </w:r>
    </w:p>
    <w:p>
      <w:r>
        <w:t>FR: TF 5A_687/2020 du 8 septembre 2020</w:t>
      </w:r>
    </w:p>
    <w:p>
      <w:r>
        <w:t>IT: TF 5A_687/2020 del 8 settembre 2020</w:t>
      </w:r>
    </w:p>
    <w:p>
      <w:pPr>
        <w:pStyle w:val="Heading2"/>
      </w:pPr>
      <w:r>
        <w:t>Erwägungen</w:t>
      </w:r>
    </w:p>
    <w:p>
      <w:r>
        <w:rPr>
          <w:b/>
        </w:rPr>
        <w:t>E. 1</w:t>
      </w:r>
    </w:p>
    <w:p>
      <w:r>
        <w:t>Le 8 mai 2020, A.________ a recouru contre une décision prise le 7 avril 2020 par l'Autorité de protection de l'enfant et de l'adulte du district de Monthey (APEA). Constatant qu'elle comportait des expressions et termes inconvenants ("</w:t>
      </w:r>
    </w:p>
    <w:p>
      <w:r>
        <w:t>criminel</w:t>
      </w:r>
    </w:p>
    <w:p>
      <w:r>
        <w:t>en</w:t>
      </w:r>
    </w:p>
    <w:p>
      <w:r>
        <w:t>col</w:t>
      </w:r>
    </w:p>
    <w:p>
      <w:r>
        <w:t>blanc ", "</w:t>
      </w:r>
    </w:p>
    <w:p>
      <w:r>
        <w:t>escroc " et "</w:t>
      </w:r>
    </w:p>
    <w:p>
      <w:r>
        <w:t>crapule "), le Président de la Cour civile II du Tribunal cantonal du Valais a, par ordonnance du 13 mai 2020, fixé au recourant un délai de cinq jours pour corriger cette écriture, sous peine de ne pas la prendre en considération. Cette ordonnance a été déférée au Tribunal fédéral, qui a déclaré le recours irrecevable par voie de procédure simplifiée (arrêt 5A_452/2020 du 11 juin 2020).</w:t>
      </w:r>
    </w:p>
    <w:p>
      <w:r>
        <w:t>L'écriture du recourant n'ayant pas été rectifiée dans le délai imparti, le magistrat précédent, par décision du 3 juillet 2020, a déclaré le recours irrecevable, aux frais de l'intéressé.</w:t>
      </w:r>
    </w:p>
    <w:p>
      <w:r>
        <w:rPr>
          <w:b/>
        </w:rPr>
        <w:t>E. 2</w:t>
      </w:r>
    </w:p>
    <w:p>
      <w:r>
        <w:t>Par écriture expédiée le 25 août 2020, A.________ exerce un recours au Tribunal fédéral contre la décision précitée.</w:t>
      </w:r>
    </w:p>
    <w:p>
      <w:r>
        <w:t>Des observations n'ont pas été requises.</w:t>
      </w:r>
    </w:p>
    <w:p>
      <w:r>
        <w:rPr>
          <w:b/>
        </w:rPr>
        <w:t>E. 3</w:t>
      </w:r>
    </w:p>
    <w:p>
      <w:r>
        <w:t>Le recours est dirigé contre la décision - finale ( art. 90 LTF ; ATF 137 I 161 consid. 4.4) - d'irrecevabilité ( art. 93 al. 3 LTF ). Dépourvu de réfutation motivée et intelligible ( art. 42 al. 2 LTF ; ATF 140 III 86 consid. 2 et les citations) et de surcroît manifestement abusif ( art. 42 al. 7 LTF ), il doit être écarté d'emblée.</w:t>
      </w:r>
    </w:p>
    <w:p>
      <w:r>
        <w:rPr>
          <w:b/>
        </w:rPr>
        <w:t>E. 4</w:t>
      </w:r>
    </w:p>
    <w:p>
      <w:r>
        <w:t>En conclusion, le présent recours doit être déclaré irrecevable par voie de procédure simplifiée ( art. 108 al. 1 let . bet c LTF), avec suite de frais à la charge du recourant ( art. 66 al. 1 LTF ).</w:t>
      </w:r>
    </w:p>
    <w:p>
      <w:r>
        <w:t>Le recourant est</w:t>
      </w:r>
    </w:p>
    <w:p>
      <w:r>
        <w:t>expressément informé que d'ultérieures écritures du même style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